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A9AE09" w14:textId="47EE0A40" w:rsidR="00B4015F" w:rsidRPr="004E2FB4" w:rsidRDefault="009D0629" w:rsidP="000557FB">
      <w:pPr>
        <w:pStyle w:val="MStitle"/>
      </w:pPr>
      <w:r w:rsidRPr="004E2FB4">
        <w:t xml:space="preserve">Supplementary Information: A new approach for measuring the carbon and oxygen content of </w:t>
      </w:r>
      <w:proofErr w:type="gramStart"/>
      <w:r w:rsidRPr="004E2FB4">
        <w:t>atmospherically-relevant</w:t>
      </w:r>
      <w:proofErr w:type="gramEnd"/>
      <w:r w:rsidRPr="004E2FB4">
        <w:t xml:space="preserve"> compounds and mixtures</w:t>
      </w:r>
    </w:p>
    <w:p w14:paraId="4A73895F" w14:textId="77777777" w:rsidR="009D0629" w:rsidRPr="00134276" w:rsidRDefault="009D0629" w:rsidP="009D0629">
      <w:pPr>
        <w:pStyle w:val="Authors"/>
      </w:pPr>
      <w:r w:rsidRPr="00134276">
        <w:t>James F. Hurley</w:t>
      </w:r>
      <w:r w:rsidRPr="00134276">
        <w:rPr>
          <w:vertAlign w:val="superscript"/>
        </w:rPr>
        <w:t>1</w:t>
      </w:r>
      <w:r w:rsidRPr="00134276">
        <w:t>, Nathan M. Kreisberg</w:t>
      </w:r>
      <w:r w:rsidRPr="00134276">
        <w:rPr>
          <w:vertAlign w:val="superscript"/>
        </w:rPr>
        <w:t>2</w:t>
      </w:r>
      <w:r w:rsidRPr="00134276">
        <w:t>, Braden Stump</w:t>
      </w:r>
      <w:r w:rsidRPr="00134276">
        <w:rPr>
          <w:vertAlign w:val="superscript"/>
        </w:rPr>
        <w:t>3</w:t>
      </w:r>
      <w:r w:rsidRPr="00134276">
        <w:t xml:space="preserve">, </w:t>
      </w:r>
      <w:proofErr w:type="spellStart"/>
      <w:r w:rsidRPr="00134276">
        <w:t>Chenyang</w:t>
      </w:r>
      <w:proofErr w:type="spellEnd"/>
      <w:r w:rsidRPr="00134276">
        <w:t xml:space="preserve"> Bi</w:t>
      </w:r>
      <w:r w:rsidRPr="00134276">
        <w:rPr>
          <w:vertAlign w:val="superscript"/>
        </w:rPr>
        <w:t>1</w:t>
      </w:r>
      <w:r w:rsidRPr="00134276">
        <w:t xml:space="preserve">, </w:t>
      </w:r>
      <w:proofErr w:type="spellStart"/>
      <w:r w:rsidRPr="00134276">
        <w:t>Purushottam</w:t>
      </w:r>
      <w:proofErr w:type="spellEnd"/>
      <w:r w:rsidRPr="00134276">
        <w:t xml:space="preserve"> Kumar</w:t>
      </w:r>
      <w:r w:rsidRPr="00134276">
        <w:rPr>
          <w:vertAlign w:val="superscript"/>
        </w:rPr>
        <w:t>1</w:t>
      </w:r>
      <w:r w:rsidRPr="00134276">
        <w:t>, Susanne V. Hering</w:t>
      </w:r>
      <w:r w:rsidRPr="00134276">
        <w:rPr>
          <w:vertAlign w:val="superscript"/>
        </w:rPr>
        <w:t>2</w:t>
      </w:r>
      <w:r w:rsidRPr="00134276">
        <w:t>, Pat Keady</w:t>
      </w:r>
      <w:r w:rsidRPr="00134276">
        <w:rPr>
          <w:vertAlign w:val="superscript"/>
        </w:rPr>
        <w:t>3</w:t>
      </w:r>
      <w:r w:rsidRPr="00134276">
        <w:t>, Gabriel Isaacman-VanWertz</w:t>
      </w:r>
      <w:r w:rsidRPr="00134276">
        <w:rPr>
          <w:vertAlign w:val="superscript"/>
        </w:rPr>
        <w:t>1</w:t>
      </w:r>
    </w:p>
    <w:p w14:paraId="538659D3" w14:textId="6F2C1983" w:rsidR="00B4015F" w:rsidRPr="00C26311" w:rsidRDefault="00B4015F" w:rsidP="009D0629">
      <w:pPr>
        <w:pStyle w:val="Authors"/>
      </w:pPr>
    </w:p>
    <w:p w14:paraId="6A0AA0BA" w14:textId="77777777" w:rsidR="006773FB" w:rsidRPr="00134276" w:rsidRDefault="006773FB" w:rsidP="006773FB">
      <w:pPr>
        <w:pStyle w:val="Affiliation"/>
      </w:pPr>
      <w:r w:rsidRPr="00134276">
        <w:rPr>
          <w:vertAlign w:val="superscript"/>
        </w:rPr>
        <w:t>1</w:t>
      </w:r>
      <w:r w:rsidRPr="00134276">
        <w:t xml:space="preserve"> Department of Civil and Environmental Engineering, Virginia Tech, Blacksburg, VA, 24061</w:t>
      </w:r>
    </w:p>
    <w:p w14:paraId="34C500D3" w14:textId="77777777" w:rsidR="006773FB" w:rsidRPr="00134276" w:rsidRDefault="006773FB" w:rsidP="006773FB">
      <w:pPr>
        <w:pStyle w:val="Affiliation"/>
      </w:pPr>
      <w:r w:rsidRPr="00134276">
        <w:rPr>
          <w:vertAlign w:val="superscript"/>
        </w:rPr>
        <w:t xml:space="preserve">2 </w:t>
      </w:r>
      <w:r w:rsidRPr="00134276">
        <w:t>Aerosol Dynamics Inc., Berkeley, CA, 94710</w:t>
      </w:r>
    </w:p>
    <w:p w14:paraId="3DBE5E2A" w14:textId="3A47E7FD" w:rsidR="000A1B66" w:rsidRPr="006773FB" w:rsidRDefault="006773FB" w:rsidP="006773FB">
      <w:pPr>
        <w:pStyle w:val="Affiliation"/>
      </w:pPr>
      <w:r w:rsidRPr="00134276">
        <w:rPr>
          <w:vertAlign w:val="superscript"/>
        </w:rPr>
        <w:t>3</w:t>
      </w:r>
      <w:r w:rsidRPr="00134276">
        <w:t xml:space="preserve"> Aerosol Devices Inc., Fort Collins, CO, 80524</w:t>
      </w:r>
    </w:p>
    <w:p w14:paraId="4B2F3FC8" w14:textId="0D692867" w:rsidR="000A1B66" w:rsidRDefault="000A1B66" w:rsidP="008E213F">
      <w:pPr>
        <w:pStyle w:val="Correspondence"/>
      </w:pPr>
      <w:r w:rsidRPr="000A1B66">
        <w:rPr>
          <w:i/>
        </w:rPr>
        <w:t xml:space="preserve">Correspondence </w:t>
      </w:r>
      <w:proofErr w:type="gramStart"/>
      <w:r w:rsidRPr="000A1B66">
        <w:rPr>
          <w:i/>
        </w:rPr>
        <w:t>to</w:t>
      </w:r>
      <w:r>
        <w:t>:</w:t>
      </w:r>
      <w:proofErr w:type="gramEnd"/>
      <w:r>
        <w:t xml:space="preserve"> </w:t>
      </w:r>
      <w:r w:rsidR="002D37A5">
        <w:t xml:space="preserve">Gabriel </w:t>
      </w:r>
      <w:proofErr w:type="spellStart"/>
      <w:r w:rsidR="002D37A5">
        <w:t>Isaacman-VanWertz</w:t>
      </w:r>
      <w:proofErr w:type="spellEnd"/>
      <w:r w:rsidR="002D37A5">
        <w:t>, ivw@vt.edu</w:t>
      </w:r>
    </w:p>
    <w:p w14:paraId="045C9B2C" w14:textId="77777777" w:rsidR="006773FB" w:rsidRPr="00134276" w:rsidRDefault="006773FB" w:rsidP="000557FB">
      <w:pPr>
        <w:pStyle w:val="Heading1"/>
      </w:pPr>
      <w:r w:rsidRPr="00134276">
        <w:t>S1 Estimated CO</w:t>
      </w:r>
      <w:r w:rsidRPr="00134276">
        <w:rPr>
          <w:vertAlign w:val="subscript"/>
        </w:rPr>
        <w:t>2</w:t>
      </w:r>
      <w:r w:rsidRPr="00134276">
        <w:t xml:space="preserve"> produced in the FID combustion of atmospheric particles</w:t>
      </w:r>
    </w:p>
    <w:p w14:paraId="6FB99849" w14:textId="241D2A36" w:rsidR="006773FB" w:rsidRPr="006773FB" w:rsidRDefault="006773FB" w:rsidP="000557FB">
      <w:pPr>
        <w:rPr>
          <w:b/>
          <w:bCs/>
        </w:rPr>
      </w:pPr>
      <w:r w:rsidRPr="006773FB">
        <w:t>In order to estimate the feasibility of measuring atmospheric particles by combusting them in an FID and measuring the CO</w:t>
      </w:r>
      <w:r w:rsidRPr="006773FB">
        <w:rPr>
          <w:vertAlign w:val="subscript"/>
        </w:rPr>
        <w:t>2</w:t>
      </w:r>
      <w:r w:rsidRPr="006773FB">
        <w:t xml:space="preserve"> produced, operating conditions for a theoretical instrument are examined here. In this instrument, particles would be sampled and thermally desorbed to an FID, with CO</w:t>
      </w:r>
      <w:r w:rsidRPr="006773FB">
        <w:rPr>
          <w:vertAlign w:val="subscript"/>
        </w:rPr>
        <w:t>2</w:t>
      </w:r>
      <w:r w:rsidRPr="006773FB">
        <w:t xml:space="preserve"> detected downstream, </w:t>
      </w:r>
      <w:proofErr w:type="gramStart"/>
      <w:r w:rsidRPr="006773FB">
        <w:t>similar to</w:t>
      </w:r>
      <w:proofErr w:type="gramEnd"/>
      <w:r w:rsidRPr="006773FB">
        <w:t xml:space="preserve"> the instrument used in this work. Table S1 provides assumptions and resulting measured values of such an instrument, with the basis of these assumptions discussed here. Total flow rate of FID gases (hydrogen and air) is in the range of 250 to 400 </w:t>
      </w:r>
      <w:proofErr w:type="spellStart"/>
      <w:r w:rsidRPr="006773FB">
        <w:t>sccm</w:t>
      </w:r>
      <w:proofErr w:type="spellEnd"/>
      <w:r w:rsidRPr="006773FB">
        <w:t xml:space="preserve"> based on typical instrument operating conditions. The instrument is assumed to sample at flows of 0.3 to 1.5 </w:t>
      </w:r>
      <w:proofErr w:type="spellStart"/>
      <w:r w:rsidRPr="006773FB">
        <w:t>lpm</w:t>
      </w:r>
      <w:proofErr w:type="spellEnd"/>
      <w:r w:rsidRPr="006773FB">
        <w:t xml:space="preserve">, as these are typical operating conditions for aerosol instrumentation, with a time resolution of one to two hours (roughly 60-120 minutes of sampling time, though </w:t>
      </w:r>
      <w:r w:rsidR="004E2FB4" w:rsidRPr="000557FB">
        <w:t>actually</w:t>
      </w:r>
      <w:r w:rsidR="004E2FB4">
        <w:rPr>
          <w:b/>
          <w:bCs/>
        </w:rPr>
        <w:t xml:space="preserve"> </w:t>
      </w:r>
      <w:r w:rsidRPr="006773FB">
        <w:t xml:space="preserve">some turnaround time would be necessary). The duration of the desorption process is estimated at 5 to 20 seconds, which impacts the relative sharpness (and thus height) of the signal observed. Two scenarios are tested to bound the operating conditions. In a low signal case, all parameters are set to minimize signal, particle concentrations are assumed to be low (0.5 </w:t>
      </w:r>
      <w:proofErr w:type="spellStart"/>
      <w:r w:rsidRPr="006773FB">
        <w:t>μg</w:t>
      </w:r>
      <w:proofErr w:type="spellEnd"/>
      <w:r w:rsidRPr="006773FB">
        <w:t>/m</w:t>
      </w:r>
      <w:r w:rsidRPr="006773FB">
        <w:rPr>
          <w:vertAlign w:val="superscript"/>
        </w:rPr>
        <w:t>3</w:t>
      </w:r>
      <w:r w:rsidRPr="006773FB">
        <w:t xml:space="preserve">), and the fraction of that mass that is carbon is assumed to be on the low end of typical ambient conditions (OM/OC = 2) </w:t>
      </w:r>
      <w:r w:rsidRPr="006773FB">
        <w:rPr>
          <w:b/>
          <w:bCs/>
        </w:rPr>
        <w:fldChar w:fldCharType="begin" w:fldLock="1"/>
      </w:r>
      <w:r w:rsidRPr="006773FB">
        <w:instrText xml:space="preserve">ADDIN CSL_CITATION {"citationItems":[{"id":"ITEM-1","itemData":{"DOI":"10.1021/es703009q","ISSN":"0013936X","PMID":"18605574","abstract":"A recently developed method to rapidly quantify the elemental composition of bulk organic aerosols (OA) using a high-resolution time-of-flight aerosol mass spectrometer (HR-ToF-AMS) is improved and applied to ambient measurements. Atomic oxygen-to-carbon (O/C) ratios characterize the oxidation state of OA, and O/C from ambient urban OA ranges from 0.2 to 0.8 with a diurnal cycle that decreases with primary emissions and increases because of photochemical processing and secondary OA (SOA) production. Regional O/C approaches </w:instrText>
      </w:r>
      <w:r w:rsidRPr="006773FB">
        <w:rPr>
          <w:rFonts w:ascii="Cambria Math" w:hAnsi="Cambria Math" w:cs="Cambria Math"/>
        </w:rPr>
        <w:instrText>∼</w:instrText>
      </w:r>
      <w:r w:rsidRPr="006773FB">
        <w:instrText xml:space="preserve">0.9. The hydrogen-to-carbon (H/C, 1.4-1.9) urban diurnal profile increases with primary OA (POA) as does the nitrogen-to-carbon (N/C, </w:instrText>
      </w:r>
      <w:r w:rsidRPr="006773FB">
        <w:rPr>
          <w:rFonts w:ascii="Cambria Math" w:hAnsi="Cambria Math" w:cs="Cambria Math"/>
        </w:rPr>
        <w:instrText>∼</w:instrText>
      </w:r>
      <w:r w:rsidRPr="006773FB">
        <w:instrText>0.02). Ambient organic-mass-to-organic-carbon ratios (OM/OC) are directly quantified and correlate well with O/C (R2 = 0.997) for ambient OA because of low N/C. Ambient O/C and OM/OC have values consistent with those recently reported from other techniques. Positive matrix factorization applied to ambient OA identifies factors with distinct O/C and OM/OC trends. The highest O/C and OM/OC (1.0 and 2.5, respectively) are observed for aged ambient oxygenated OA, significantly exceeding values for traditional chamber SOA, while laboratory-produced primary biomass burning OA (BBOA) is similar to ambient BBOA, O/C of 0.3-0.4. Hydrocarbon-like OA (HOA), a surrogate for urban combustion POA, has the lowest O/C (0.06-0.10), similar to vehicle exhaust. An approximation for predicting O/C from unit mass resolution data is also presented. © 2008 American Chemical Society.","author":[{"dropping-particle":"","family":"Aiken","given":"Allison C.","non-dropping-particle":"","parse-names":false,"suffix":""},{"dropping-particle":"","family":"Decarlo","given":"Peter F.","non-dropping-particle":"","parse-names":false,"suffix":""},{"dropping-particle":"","family":"Kroll","given":"Jesse H.","non-dropping-particle":"","parse-names":false,"suffix":""},{"dropping-particle":"","family":"Worsnop","given":"Douglas R.","non-dropping-particle":"","parse-names":false,"suffix":""},{"dropping-particle":"","family":"Huffman","given":"J. Alex","non-dropping-particle":"","parse-names":false,"suffix":""},{"dropping-particle":"","family":"Docherty","given":"Kenneth S.","non-dropping-particle":"","parse-names":false,"suffix":""},{"dropping-particle":"","family":"Ulbrich","given":"Ingrid M.","non-dropping-particle":"","parse-names":false,"suffix":""},{"dropping-particle":"","family":"Mohr","given":"Claudia","non-dropping-particle":"","parse-names":false,"suffix":""},{"dropping-particle":"","family":"Kimmel","given":"Joel R.","non-dropping-particle":"","parse-names":false,"suffix":""},{"dropping-particle":"","family":"Sueper","given":"Donna","non-dropping-particle":"","parse-names":false,"suffix":""},{"dropping-particle":"","family":"Sun","given":"Yele","non-dropping-particle":"","parse-names":false,"suffix":""},{"dropping-particle":"","family":"Zhang","given":"Qi","non-dropping-particle":"","parse-names":false,"suffix":""},{"dropping-particle":"","family":"Trimborn","given":"Achim","non-dropping-particle":"","parse-names":false,"suffix":""},{"dropping-particle":"","family":"Northway","given":"Megan","non-dropping-particle":"","parse-names":false,"suffix":""},{"dropping-particle":"","family":"Ziemann","given":"Paul J.","non-dropping-particle":"","parse-names":false,"suffix":""},{"dropping-particle":"","family":"Canagaratna","given":"Manjula R.","non-dropping-particle":"","parse-names":false,"suffix":""},{"dropping-particle":"","family":"Onasch","given":"Timothy B.","non-dropping-particle":"","parse-names":false,"suffix":""},{"dropping-particle":"","family":"Alfarra","given":"M. Rami","non-dropping-particle":"","parse-names":false,"suffix":""},{"dropping-particle":"","family":"Prevot","given":"Andre S.H.","non-dropping-particle":"","parse-names":false,"suffix":""},{"dropping-particle":"","family":"Dommen","given":"Josef","non-dropping-particle":"","parse-names":false,"suffix":""},{"dropping-particle":"","family":"Duplissy","given":"Jonathan","non-dropping-particle":"","parse-names":false,"suffix":""},{"dropping-particle":"","family":"Metzger","given":"Axel","non-dropping-particle":"","parse-names":false,"suffix":""},{"dropping-particle":"","family":"Baltensperger","given":"Urs","non-dropping-particle":"","parse-names":false,"suffix":""},{"dropping-particle":"","family":"Jimenez","given":"Jose L.","non-dropping-particle":"","parse-names":false,"suffix":""}],"container-title":"Environmental Science and Technology","id":"ITEM-1","issue":"12","issued":{"date-parts":[["2008"]]},"page":"4478-4485","title":"O/C and OM/OC ratios of primary, secondary, and ambient organic aerosols with high-resolution time-of-flight aerosol mass spectrometry","type":"article-journal","volume":"42"},"uris":["http://www.mendeley.com/documents/?uuid=20883ffb-6cc3-47d1-91b2-901c309a06fb"]}],"mendeley":{"formattedCitation":"(Aiken et al., 2008)","plainTextFormattedCitation":"(Aiken et al., 2008)","previouslyFormattedCitation":"(Aiken et al., 2008)"},"properties":{"noteIndex":0},"schema":"https://github.com/citation-style-language/schema/raw/master/csl-citation.json"}</w:instrText>
      </w:r>
      <w:r w:rsidRPr="006773FB">
        <w:rPr>
          <w:b/>
          <w:bCs/>
        </w:rPr>
        <w:fldChar w:fldCharType="separate"/>
      </w:r>
      <w:r w:rsidRPr="006773FB">
        <w:rPr>
          <w:noProof/>
        </w:rPr>
        <w:t>(Aiken et al., 2008)</w:t>
      </w:r>
      <w:r w:rsidRPr="006773FB">
        <w:rPr>
          <w:b/>
          <w:bCs/>
        </w:rPr>
        <w:fldChar w:fldCharType="end"/>
      </w:r>
      <w:r w:rsidRPr="006773FB">
        <w:t xml:space="preserve">. In a high signal case, all parameters are set to maximize signal, particle concentrations are assumed to be moderate (10 </w:t>
      </w:r>
      <w:proofErr w:type="spellStart"/>
      <w:r w:rsidRPr="006773FB">
        <w:t>μg</w:t>
      </w:r>
      <w:proofErr w:type="spellEnd"/>
      <w:r w:rsidRPr="006773FB">
        <w:t>/m</w:t>
      </w:r>
      <w:r w:rsidRPr="006773FB">
        <w:rPr>
          <w:vertAlign w:val="superscript"/>
        </w:rPr>
        <w:t>3</w:t>
      </w:r>
      <w:r w:rsidRPr="006773FB">
        <w:t>), and the fraction of that mass that is carbon is assumed to be on the high end of typical ambient conditions (OM/OC = 1.4).</w:t>
      </w:r>
    </w:p>
    <w:p w14:paraId="3E14164A" w14:textId="77777777" w:rsidR="006773FB" w:rsidRDefault="006773FB" w:rsidP="006773FB">
      <w:pPr>
        <w:pStyle w:val="S1"/>
        <w:rPr>
          <w:rFonts w:cstheme="minorHAnsi"/>
        </w:rPr>
      </w:pPr>
    </w:p>
    <w:p w14:paraId="23A7F2C5" w14:textId="77777777" w:rsidR="006773FB" w:rsidRDefault="006773FB" w:rsidP="006773FB">
      <w:pPr>
        <w:pStyle w:val="S1"/>
        <w:rPr>
          <w:rFonts w:cstheme="minorHAnsi"/>
        </w:rPr>
      </w:pPr>
    </w:p>
    <w:p w14:paraId="7D1939E4" w14:textId="77777777" w:rsidR="006773FB" w:rsidRDefault="006773FB" w:rsidP="006773FB">
      <w:pPr>
        <w:pStyle w:val="S1"/>
        <w:rPr>
          <w:rFonts w:cstheme="minorHAnsi"/>
        </w:rPr>
      </w:pPr>
    </w:p>
    <w:p w14:paraId="4BCEE739" w14:textId="77777777" w:rsidR="006773FB" w:rsidRDefault="006773FB" w:rsidP="006773FB">
      <w:pPr>
        <w:pStyle w:val="S1"/>
        <w:rPr>
          <w:rFonts w:cstheme="minorHAnsi"/>
        </w:rPr>
      </w:pPr>
    </w:p>
    <w:p w14:paraId="5B89583D" w14:textId="77777777" w:rsidR="006773FB" w:rsidRDefault="006773FB" w:rsidP="006773FB">
      <w:pPr>
        <w:pStyle w:val="S1"/>
        <w:rPr>
          <w:rFonts w:cstheme="minorHAnsi"/>
        </w:rPr>
      </w:pPr>
    </w:p>
    <w:p w14:paraId="3F0AF088" w14:textId="77777777" w:rsidR="006773FB" w:rsidRDefault="006773FB" w:rsidP="006773FB">
      <w:pPr>
        <w:pStyle w:val="S1"/>
        <w:rPr>
          <w:rFonts w:cstheme="minorHAnsi"/>
        </w:rPr>
      </w:pPr>
    </w:p>
    <w:p w14:paraId="21BA591D" w14:textId="77777777" w:rsidR="006773FB" w:rsidRDefault="006773FB" w:rsidP="006773FB">
      <w:pPr>
        <w:pStyle w:val="S1"/>
        <w:rPr>
          <w:rFonts w:cstheme="minorHAnsi"/>
        </w:rPr>
      </w:pPr>
    </w:p>
    <w:p w14:paraId="04F980DC" w14:textId="77777777" w:rsidR="006773FB" w:rsidRPr="00134276" w:rsidRDefault="006773FB" w:rsidP="000557FB">
      <w:pPr>
        <w:pStyle w:val="Caption"/>
      </w:pPr>
      <w:r w:rsidRPr="00134276">
        <w:t>Table S1. Assumptions and calculations to estimate amount of CO</w:t>
      </w:r>
      <w:r w:rsidRPr="00134276">
        <w:rPr>
          <w:vertAlign w:val="subscript"/>
        </w:rPr>
        <w:t>2</w:t>
      </w:r>
      <w:r w:rsidRPr="00134276">
        <w:t xml:space="preserve"> produced in the combustion of </w:t>
      </w:r>
      <w:proofErr w:type="gramStart"/>
      <w:r w:rsidRPr="00134276">
        <w:t>atmospherically-relevant</w:t>
      </w:r>
      <w:proofErr w:type="gramEnd"/>
      <w:r w:rsidRPr="00134276">
        <w:t xml:space="preserve"> concentrations of organic aerosol.</w:t>
      </w:r>
    </w:p>
    <w:tbl>
      <w:tblPr>
        <w:tblStyle w:val="PlainTable2"/>
        <w:tblW w:w="8100" w:type="dxa"/>
        <w:tblLook w:val="06C0" w:firstRow="0" w:lastRow="1" w:firstColumn="1" w:lastColumn="0" w:noHBand="1" w:noVBand="1"/>
      </w:tblPr>
      <w:tblGrid>
        <w:gridCol w:w="4680"/>
        <w:gridCol w:w="1710"/>
        <w:gridCol w:w="1710"/>
      </w:tblGrid>
      <w:tr w:rsidR="006773FB" w:rsidRPr="002D777B" w14:paraId="70E002B5" w14:textId="77777777" w:rsidTr="00103659">
        <w:trPr>
          <w:trHeight w:val="359"/>
        </w:trPr>
        <w:tc>
          <w:tcPr>
            <w:cnfStyle w:val="001000000000" w:firstRow="0" w:lastRow="0" w:firstColumn="1" w:lastColumn="0" w:oddVBand="0" w:evenVBand="0" w:oddHBand="0" w:evenHBand="0" w:firstRowFirstColumn="0" w:firstRowLastColumn="0" w:lastRowFirstColumn="0" w:lastRowLastColumn="0"/>
            <w:tcW w:w="4680" w:type="dxa"/>
            <w:noWrap/>
            <w:hideMark/>
          </w:tcPr>
          <w:p w14:paraId="72D12ACC" w14:textId="77777777" w:rsidR="006773FB" w:rsidRPr="00134276" w:rsidRDefault="006773FB" w:rsidP="006773FB">
            <w:pPr>
              <w:pStyle w:val="S1"/>
              <w:rPr>
                <w:color w:val="000000"/>
              </w:rPr>
            </w:pPr>
            <w:r w:rsidRPr="00134276">
              <w:rPr>
                <w:color w:val="000000"/>
              </w:rPr>
              <w:t>Assumptions:</w:t>
            </w:r>
          </w:p>
        </w:tc>
        <w:tc>
          <w:tcPr>
            <w:tcW w:w="1710" w:type="dxa"/>
            <w:hideMark/>
          </w:tcPr>
          <w:p w14:paraId="5D63BAC2"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rPr>
                <w:color w:val="000000"/>
              </w:rPr>
            </w:pPr>
            <w:r w:rsidRPr="00134276">
              <w:rPr>
                <w:color w:val="000000"/>
              </w:rPr>
              <w:t>High signal case</w:t>
            </w:r>
          </w:p>
        </w:tc>
        <w:tc>
          <w:tcPr>
            <w:tcW w:w="1710" w:type="dxa"/>
            <w:hideMark/>
          </w:tcPr>
          <w:p w14:paraId="56009EFC"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rPr>
                <w:color w:val="000000"/>
              </w:rPr>
            </w:pPr>
            <w:r w:rsidRPr="00134276">
              <w:rPr>
                <w:color w:val="000000"/>
              </w:rPr>
              <w:t>Low signal case</w:t>
            </w:r>
          </w:p>
        </w:tc>
      </w:tr>
      <w:tr w:rsidR="006773FB" w:rsidRPr="002D777B" w14:paraId="0112BF19" w14:textId="77777777" w:rsidTr="00103659">
        <w:trPr>
          <w:trHeight w:val="288"/>
        </w:trPr>
        <w:tc>
          <w:tcPr>
            <w:cnfStyle w:val="001000000000" w:firstRow="0" w:lastRow="0" w:firstColumn="1" w:lastColumn="0" w:oddVBand="0" w:evenVBand="0" w:oddHBand="0" w:evenHBand="0" w:firstRowFirstColumn="0" w:firstRowLastColumn="0" w:lastRowFirstColumn="0" w:lastRowLastColumn="0"/>
            <w:tcW w:w="4680" w:type="dxa"/>
            <w:noWrap/>
            <w:hideMark/>
          </w:tcPr>
          <w:p w14:paraId="5CD4DFCD" w14:textId="77777777" w:rsidR="006773FB" w:rsidRPr="00134276" w:rsidRDefault="006773FB" w:rsidP="006773FB">
            <w:pPr>
              <w:pStyle w:val="S1"/>
              <w:rPr>
                <w:b/>
                <w:color w:val="000000"/>
              </w:rPr>
            </w:pPr>
            <w:r w:rsidRPr="00134276">
              <w:rPr>
                <w:color w:val="000000"/>
              </w:rPr>
              <w:t>Total flow of all FID gases (cm3/min)</w:t>
            </w:r>
          </w:p>
        </w:tc>
        <w:tc>
          <w:tcPr>
            <w:tcW w:w="1710" w:type="dxa"/>
            <w:noWrap/>
            <w:vAlign w:val="bottom"/>
            <w:hideMark/>
          </w:tcPr>
          <w:p w14:paraId="6D9A93A9"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rPr>
                <w:color w:val="000000"/>
              </w:rPr>
            </w:pPr>
            <w:r w:rsidRPr="00134276">
              <w:rPr>
                <w:color w:val="000000"/>
              </w:rPr>
              <w:t>250</w:t>
            </w:r>
          </w:p>
        </w:tc>
        <w:tc>
          <w:tcPr>
            <w:tcW w:w="1710" w:type="dxa"/>
            <w:noWrap/>
            <w:vAlign w:val="bottom"/>
            <w:hideMark/>
          </w:tcPr>
          <w:p w14:paraId="5E1FB294"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rPr>
                <w:color w:val="000000"/>
              </w:rPr>
            </w:pPr>
            <w:r w:rsidRPr="00134276">
              <w:rPr>
                <w:color w:val="000000"/>
              </w:rPr>
              <w:t>400</w:t>
            </w:r>
          </w:p>
        </w:tc>
      </w:tr>
      <w:tr w:rsidR="006773FB" w:rsidRPr="002D777B" w14:paraId="39BBE5E0" w14:textId="77777777" w:rsidTr="00103659">
        <w:trPr>
          <w:trHeight w:val="288"/>
        </w:trPr>
        <w:tc>
          <w:tcPr>
            <w:cnfStyle w:val="001000000000" w:firstRow="0" w:lastRow="0" w:firstColumn="1" w:lastColumn="0" w:oddVBand="0" w:evenVBand="0" w:oddHBand="0" w:evenHBand="0" w:firstRowFirstColumn="0" w:firstRowLastColumn="0" w:lastRowFirstColumn="0" w:lastRowLastColumn="0"/>
            <w:tcW w:w="4680" w:type="dxa"/>
            <w:noWrap/>
            <w:hideMark/>
          </w:tcPr>
          <w:p w14:paraId="4739C1B4" w14:textId="77777777" w:rsidR="006773FB" w:rsidRPr="00134276" w:rsidRDefault="006773FB" w:rsidP="006773FB">
            <w:pPr>
              <w:pStyle w:val="S1"/>
              <w:rPr>
                <w:b/>
                <w:color w:val="000000"/>
              </w:rPr>
            </w:pPr>
            <w:r w:rsidRPr="00134276">
              <w:rPr>
                <w:color w:val="000000"/>
              </w:rPr>
              <w:t>Organic aerosol concentration (ug/m3)</w:t>
            </w:r>
          </w:p>
        </w:tc>
        <w:tc>
          <w:tcPr>
            <w:tcW w:w="1710" w:type="dxa"/>
            <w:noWrap/>
            <w:vAlign w:val="bottom"/>
            <w:hideMark/>
          </w:tcPr>
          <w:p w14:paraId="0DC8E2E6"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rPr>
                <w:color w:val="000000"/>
              </w:rPr>
            </w:pPr>
            <w:r w:rsidRPr="00134276">
              <w:rPr>
                <w:color w:val="000000"/>
              </w:rPr>
              <w:t>10</w:t>
            </w:r>
          </w:p>
        </w:tc>
        <w:tc>
          <w:tcPr>
            <w:tcW w:w="1710" w:type="dxa"/>
            <w:noWrap/>
            <w:vAlign w:val="bottom"/>
            <w:hideMark/>
          </w:tcPr>
          <w:p w14:paraId="6EB53B96"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rPr>
                <w:color w:val="000000"/>
              </w:rPr>
            </w:pPr>
            <w:r w:rsidRPr="00134276">
              <w:rPr>
                <w:color w:val="000000"/>
              </w:rPr>
              <w:t>0.5</w:t>
            </w:r>
          </w:p>
        </w:tc>
      </w:tr>
      <w:tr w:rsidR="006773FB" w:rsidRPr="002D777B" w14:paraId="4AFF8EF1" w14:textId="77777777" w:rsidTr="00103659">
        <w:trPr>
          <w:trHeight w:val="288"/>
        </w:trPr>
        <w:tc>
          <w:tcPr>
            <w:cnfStyle w:val="001000000000" w:firstRow="0" w:lastRow="0" w:firstColumn="1" w:lastColumn="0" w:oddVBand="0" w:evenVBand="0" w:oddHBand="0" w:evenHBand="0" w:firstRowFirstColumn="0" w:firstRowLastColumn="0" w:lastRowFirstColumn="0" w:lastRowLastColumn="0"/>
            <w:tcW w:w="4680" w:type="dxa"/>
            <w:noWrap/>
            <w:hideMark/>
          </w:tcPr>
          <w:p w14:paraId="786E89EE" w14:textId="77777777" w:rsidR="006773FB" w:rsidRPr="00134276" w:rsidRDefault="006773FB" w:rsidP="006773FB">
            <w:pPr>
              <w:pStyle w:val="S1"/>
              <w:rPr>
                <w:b/>
                <w:color w:val="000000"/>
              </w:rPr>
            </w:pPr>
            <w:r w:rsidRPr="00134276">
              <w:rPr>
                <w:color w:val="000000"/>
              </w:rPr>
              <w:t>Organic mass/organic carbon (OM/OC)</w:t>
            </w:r>
          </w:p>
        </w:tc>
        <w:tc>
          <w:tcPr>
            <w:tcW w:w="1710" w:type="dxa"/>
            <w:noWrap/>
            <w:vAlign w:val="bottom"/>
            <w:hideMark/>
          </w:tcPr>
          <w:p w14:paraId="43AE5B35"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rPr>
                <w:color w:val="000000"/>
              </w:rPr>
            </w:pPr>
            <w:r w:rsidRPr="00134276">
              <w:rPr>
                <w:color w:val="000000"/>
              </w:rPr>
              <w:t>1.4</w:t>
            </w:r>
          </w:p>
        </w:tc>
        <w:tc>
          <w:tcPr>
            <w:tcW w:w="1710" w:type="dxa"/>
            <w:noWrap/>
            <w:vAlign w:val="bottom"/>
            <w:hideMark/>
          </w:tcPr>
          <w:p w14:paraId="12EDE1E3"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rPr>
                <w:color w:val="000000"/>
              </w:rPr>
            </w:pPr>
            <w:r w:rsidRPr="00134276">
              <w:rPr>
                <w:color w:val="000000"/>
              </w:rPr>
              <w:t>2</w:t>
            </w:r>
          </w:p>
        </w:tc>
      </w:tr>
      <w:tr w:rsidR="006773FB" w:rsidRPr="002D777B" w14:paraId="4D93AB7E" w14:textId="77777777" w:rsidTr="00103659">
        <w:trPr>
          <w:trHeight w:val="288"/>
        </w:trPr>
        <w:tc>
          <w:tcPr>
            <w:cnfStyle w:val="001000000000" w:firstRow="0" w:lastRow="0" w:firstColumn="1" w:lastColumn="0" w:oddVBand="0" w:evenVBand="0" w:oddHBand="0" w:evenHBand="0" w:firstRowFirstColumn="0" w:firstRowLastColumn="0" w:lastRowFirstColumn="0" w:lastRowLastColumn="0"/>
            <w:tcW w:w="4680" w:type="dxa"/>
            <w:noWrap/>
            <w:hideMark/>
          </w:tcPr>
          <w:p w14:paraId="491B8659" w14:textId="77777777" w:rsidR="006773FB" w:rsidRPr="00134276" w:rsidRDefault="006773FB" w:rsidP="006773FB">
            <w:pPr>
              <w:pStyle w:val="S1"/>
              <w:rPr>
                <w:b/>
                <w:color w:val="000000"/>
              </w:rPr>
            </w:pPr>
            <w:r w:rsidRPr="00134276">
              <w:rPr>
                <w:color w:val="000000"/>
              </w:rPr>
              <w:t>Instrument sample flow rate (l/min)</w:t>
            </w:r>
          </w:p>
        </w:tc>
        <w:tc>
          <w:tcPr>
            <w:tcW w:w="1710" w:type="dxa"/>
            <w:noWrap/>
            <w:vAlign w:val="bottom"/>
            <w:hideMark/>
          </w:tcPr>
          <w:p w14:paraId="3FFDD328"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rPr>
                <w:color w:val="000000"/>
              </w:rPr>
            </w:pPr>
            <w:r w:rsidRPr="00134276">
              <w:rPr>
                <w:color w:val="000000"/>
              </w:rPr>
              <w:t>1.5</w:t>
            </w:r>
          </w:p>
        </w:tc>
        <w:tc>
          <w:tcPr>
            <w:tcW w:w="1710" w:type="dxa"/>
            <w:noWrap/>
            <w:vAlign w:val="bottom"/>
            <w:hideMark/>
          </w:tcPr>
          <w:p w14:paraId="079A82AC"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rPr>
                <w:color w:val="000000"/>
              </w:rPr>
            </w:pPr>
            <w:r w:rsidRPr="00134276">
              <w:rPr>
                <w:color w:val="000000"/>
              </w:rPr>
              <w:t>0.3</w:t>
            </w:r>
          </w:p>
        </w:tc>
      </w:tr>
      <w:tr w:rsidR="006773FB" w:rsidRPr="002D777B" w14:paraId="001323D7" w14:textId="77777777" w:rsidTr="00103659">
        <w:trPr>
          <w:trHeight w:val="288"/>
        </w:trPr>
        <w:tc>
          <w:tcPr>
            <w:cnfStyle w:val="001000000000" w:firstRow="0" w:lastRow="0" w:firstColumn="1" w:lastColumn="0" w:oddVBand="0" w:evenVBand="0" w:oddHBand="0" w:evenHBand="0" w:firstRowFirstColumn="0" w:firstRowLastColumn="0" w:lastRowFirstColumn="0" w:lastRowLastColumn="0"/>
            <w:tcW w:w="4680" w:type="dxa"/>
            <w:noWrap/>
            <w:hideMark/>
          </w:tcPr>
          <w:p w14:paraId="3526E4A7" w14:textId="77777777" w:rsidR="006773FB" w:rsidRPr="00134276" w:rsidRDefault="006773FB" w:rsidP="006773FB">
            <w:pPr>
              <w:pStyle w:val="S1"/>
              <w:rPr>
                <w:b/>
                <w:color w:val="000000"/>
              </w:rPr>
            </w:pPr>
            <w:r w:rsidRPr="00134276">
              <w:rPr>
                <w:color w:val="000000"/>
              </w:rPr>
              <w:t>Sample interval (min)</w:t>
            </w:r>
          </w:p>
        </w:tc>
        <w:tc>
          <w:tcPr>
            <w:tcW w:w="1710" w:type="dxa"/>
            <w:noWrap/>
            <w:vAlign w:val="bottom"/>
            <w:hideMark/>
          </w:tcPr>
          <w:p w14:paraId="301EB961"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rPr>
                <w:color w:val="000000"/>
              </w:rPr>
            </w:pPr>
            <w:r w:rsidRPr="00134276">
              <w:rPr>
                <w:color w:val="000000"/>
              </w:rPr>
              <w:t>120</w:t>
            </w:r>
          </w:p>
        </w:tc>
        <w:tc>
          <w:tcPr>
            <w:tcW w:w="1710" w:type="dxa"/>
            <w:noWrap/>
            <w:vAlign w:val="bottom"/>
            <w:hideMark/>
          </w:tcPr>
          <w:p w14:paraId="25BA887F"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rPr>
                <w:color w:val="000000"/>
              </w:rPr>
            </w:pPr>
            <w:r w:rsidRPr="00134276">
              <w:rPr>
                <w:color w:val="000000"/>
              </w:rPr>
              <w:t>60</w:t>
            </w:r>
          </w:p>
        </w:tc>
      </w:tr>
      <w:tr w:rsidR="006773FB" w:rsidRPr="002D777B" w14:paraId="735BFB42" w14:textId="77777777" w:rsidTr="00103659">
        <w:trPr>
          <w:trHeight w:val="288"/>
        </w:trPr>
        <w:tc>
          <w:tcPr>
            <w:cnfStyle w:val="001000000000" w:firstRow="0" w:lastRow="0" w:firstColumn="1" w:lastColumn="0" w:oddVBand="0" w:evenVBand="0" w:oddHBand="0" w:evenHBand="0" w:firstRowFirstColumn="0" w:firstRowLastColumn="0" w:lastRowFirstColumn="0" w:lastRowLastColumn="0"/>
            <w:tcW w:w="4680" w:type="dxa"/>
            <w:noWrap/>
            <w:hideMark/>
          </w:tcPr>
          <w:p w14:paraId="7952AF51" w14:textId="77777777" w:rsidR="006773FB" w:rsidRPr="00134276" w:rsidRDefault="006773FB" w:rsidP="006773FB">
            <w:pPr>
              <w:pStyle w:val="S1"/>
              <w:rPr>
                <w:b/>
                <w:color w:val="000000"/>
              </w:rPr>
            </w:pPr>
            <w:r w:rsidRPr="00134276">
              <w:rPr>
                <w:color w:val="000000"/>
              </w:rPr>
              <w:t>Duration of desorption (sec)</w:t>
            </w:r>
          </w:p>
        </w:tc>
        <w:tc>
          <w:tcPr>
            <w:tcW w:w="1710" w:type="dxa"/>
            <w:noWrap/>
            <w:vAlign w:val="bottom"/>
            <w:hideMark/>
          </w:tcPr>
          <w:p w14:paraId="741CA9D0"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rPr>
                <w:color w:val="000000"/>
              </w:rPr>
            </w:pPr>
            <w:r w:rsidRPr="00134276">
              <w:rPr>
                <w:color w:val="000000"/>
              </w:rPr>
              <w:t>5</w:t>
            </w:r>
          </w:p>
        </w:tc>
        <w:tc>
          <w:tcPr>
            <w:tcW w:w="1710" w:type="dxa"/>
            <w:noWrap/>
            <w:vAlign w:val="bottom"/>
            <w:hideMark/>
          </w:tcPr>
          <w:p w14:paraId="0AAB9411"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rPr>
                <w:color w:val="000000"/>
              </w:rPr>
            </w:pPr>
            <w:r w:rsidRPr="00134276">
              <w:rPr>
                <w:color w:val="000000"/>
              </w:rPr>
              <w:t>20</w:t>
            </w:r>
          </w:p>
        </w:tc>
      </w:tr>
      <w:tr w:rsidR="006773FB" w:rsidRPr="002D777B" w14:paraId="3A7A157E" w14:textId="77777777" w:rsidTr="00103659">
        <w:trPr>
          <w:trHeight w:val="68"/>
        </w:trPr>
        <w:tc>
          <w:tcPr>
            <w:cnfStyle w:val="001000000000" w:firstRow="0" w:lastRow="0" w:firstColumn="1" w:lastColumn="0" w:oddVBand="0" w:evenVBand="0" w:oddHBand="0" w:evenHBand="0" w:firstRowFirstColumn="0" w:firstRowLastColumn="0" w:lastRowFirstColumn="0" w:lastRowLastColumn="0"/>
            <w:tcW w:w="4680" w:type="dxa"/>
            <w:noWrap/>
            <w:hideMark/>
          </w:tcPr>
          <w:p w14:paraId="2AC2FDD3" w14:textId="77777777" w:rsidR="006773FB" w:rsidRPr="00134276" w:rsidRDefault="006773FB" w:rsidP="006773FB">
            <w:pPr>
              <w:pStyle w:val="S1"/>
              <w:rPr>
                <w:b/>
                <w:color w:val="000000"/>
              </w:rPr>
            </w:pPr>
          </w:p>
        </w:tc>
        <w:tc>
          <w:tcPr>
            <w:tcW w:w="1710" w:type="dxa"/>
            <w:noWrap/>
            <w:vAlign w:val="bottom"/>
            <w:hideMark/>
          </w:tcPr>
          <w:p w14:paraId="15906265"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pPr>
          </w:p>
        </w:tc>
        <w:tc>
          <w:tcPr>
            <w:tcW w:w="1710" w:type="dxa"/>
            <w:noWrap/>
            <w:vAlign w:val="bottom"/>
            <w:hideMark/>
          </w:tcPr>
          <w:p w14:paraId="5F1B6EE4"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pPr>
          </w:p>
        </w:tc>
      </w:tr>
      <w:tr w:rsidR="006773FB" w:rsidRPr="002D777B" w14:paraId="6994CF46" w14:textId="77777777" w:rsidTr="00103659">
        <w:trPr>
          <w:trHeight w:val="135"/>
        </w:trPr>
        <w:tc>
          <w:tcPr>
            <w:cnfStyle w:val="001000000000" w:firstRow="0" w:lastRow="0" w:firstColumn="1" w:lastColumn="0" w:oddVBand="0" w:evenVBand="0" w:oddHBand="0" w:evenHBand="0" w:firstRowFirstColumn="0" w:firstRowLastColumn="0" w:lastRowFirstColumn="0" w:lastRowLastColumn="0"/>
            <w:tcW w:w="4680" w:type="dxa"/>
            <w:noWrap/>
            <w:hideMark/>
          </w:tcPr>
          <w:p w14:paraId="7897557E" w14:textId="77777777" w:rsidR="006773FB" w:rsidRPr="00134276" w:rsidRDefault="006773FB" w:rsidP="006773FB">
            <w:pPr>
              <w:pStyle w:val="S1"/>
              <w:rPr>
                <w:color w:val="000000"/>
              </w:rPr>
            </w:pPr>
            <w:r w:rsidRPr="00134276">
              <w:rPr>
                <w:color w:val="000000"/>
              </w:rPr>
              <w:t>Calculations:</w:t>
            </w:r>
          </w:p>
        </w:tc>
        <w:tc>
          <w:tcPr>
            <w:tcW w:w="1710" w:type="dxa"/>
            <w:noWrap/>
            <w:vAlign w:val="bottom"/>
            <w:hideMark/>
          </w:tcPr>
          <w:p w14:paraId="60B7B0FE"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rPr>
                <w:color w:val="000000"/>
              </w:rPr>
            </w:pPr>
          </w:p>
        </w:tc>
        <w:tc>
          <w:tcPr>
            <w:tcW w:w="1710" w:type="dxa"/>
            <w:noWrap/>
            <w:vAlign w:val="bottom"/>
            <w:hideMark/>
          </w:tcPr>
          <w:p w14:paraId="020DE19C"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pPr>
          </w:p>
        </w:tc>
      </w:tr>
      <w:tr w:rsidR="006773FB" w:rsidRPr="002D777B" w14:paraId="13754CEF" w14:textId="77777777" w:rsidTr="00103659">
        <w:trPr>
          <w:trHeight w:val="288"/>
        </w:trPr>
        <w:tc>
          <w:tcPr>
            <w:cnfStyle w:val="001000000000" w:firstRow="0" w:lastRow="0" w:firstColumn="1" w:lastColumn="0" w:oddVBand="0" w:evenVBand="0" w:oddHBand="0" w:evenHBand="0" w:firstRowFirstColumn="0" w:firstRowLastColumn="0" w:lastRowFirstColumn="0" w:lastRowLastColumn="0"/>
            <w:tcW w:w="4680" w:type="dxa"/>
            <w:noWrap/>
            <w:hideMark/>
          </w:tcPr>
          <w:p w14:paraId="0CE093B7" w14:textId="77777777" w:rsidR="006773FB" w:rsidRPr="00134276" w:rsidRDefault="006773FB" w:rsidP="006773FB">
            <w:pPr>
              <w:pStyle w:val="S1"/>
              <w:rPr>
                <w:b/>
                <w:color w:val="000000"/>
              </w:rPr>
            </w:pPr>
            <w:r w:rsidRPr="00134276">
              <w:rPr>
                <w:color w:val="000000"/>
              </w:rPr>
              <w:t>Sampled carbon (ng)</w:t>
            </w:r>
          </w:p>
        </w:tc>
        <w:tc>
          <w:tcPr>
            <w:tcW w:w="1710" w:type="dxa"/>
            <w:noWrap/>
            <w:vAlign w:val="bottom"/>
            <w:hideMark/>
          </w:tcPr>
          <w:p w14:paraId="1E8F9173"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rPr>
                <w:color w:val="000000"/>
              </w:rPr>
            </w:pPr>
            <w:r w:rsidRPr="00134276">
              <w:rPr>
                <w:color w:val="000000"/>
              </w:rPr>
              <w:t>1286</w:t>
            </w:r>
          </w:p>
        </w:tc>
        <w:tc>
          <w:tcPr>
            <w:tcW w:w="1710" w:type="dxa"/>
            <w:noWrap/>
            <w:vAlign w:val="bottom"/>
            <w:hideMark/>
          </w:tcPr>
          <w:p w14:paraId="04CBA493"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rPr>
                <w:color w:val="000000"/>
              </w:rPr>
            </w:pPr>
            <w:r w:rsidRPr="00134276">
              <w:rPr>
                <w:color w:val="000000"/>
              </w:rPr>
              <w:t>5</w:t>
            </w:r>
          </w:p>
        </w:tc>
      </w:tr>
      <w:tr w:rsidR="006773FB" w:rsidRPr="002D777B" w14:paraId="6E205BCB" w14:textId="77777777" w:rsidTr="00103659">
        <w:trPr>
          <w:trHeight w:val="288"/>
        </w:trPr>
        <w:tc>
          <w:tcPr>
            <w:cnfStyle w:val="001000000000" w:firstRow="0" w:lastRow="0" w:firstColumn="1" w:lastColumn="0" w:oddVBand="0" w:evenVBand="0" w:oddHBand="0" w:evenHBand="0" w:firstRowFirstColumn="0" w:firstRowLastColumn="0" w:lastRowFirstColumn="0" w:lastRowLastColumn="0"/>
            <w:tcW w:w="4680" w:type="dxa"/>
            <w:noWrap/>
            <w:hideMark/>
          </w:tcPr>
          <w:p w14:paraId="161522C7" w14:textId="77777777" w:rsidR="006773FB" w:rsidRPr="00134276" w:rsidRDefault="006773FB" w:rsidP="006773FB">
            <w:pPr>
              <w:pStyle w:val="S1"/>
              <w:rPr>
                <w:b/>
                <w:color w:val="000000"/>
              </w:rPr>
            </w:pPr>
            <w:r w:rsidRPr="00134276">
              <w:rPr>
                <w:color w:val="000000"/>
              </w:rPr>
              <w:t>Carbon reaching FID (ng/s)</w:t>
            </w:r>
          </w:p>
        </w:tc>
        <w:tc>
          <w:tcPr>
            <w:tcW w:w="1710" w:type="dxa"/>
            <w:noWrap/>
            <w:vAlign w:val="bottom"/>
            <w:hideMark/>
          </w:tcPr>
          <w:p w14:paraId="43E3D760"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rPr>
                <w:color w:val="000000"/>
              </w:rPr>
            </w:pPr>
            <w:r w:rsidRPr="00134276">
              <w:rPr>
                <w:color w:val="000000"/>
              </w:rPr>
              <w:t>257</w:t>
            </w:r>
          </w:p>
        </w:tc>
        <w:tc>
          <w:tcPr>
            <w:tcW w:w="1710" w:type="dxa"/>
            <w:noWrap/>
            <w:vAlign w:val="bottom"/>
            <w:hideMark/>
          </w:tcPr>
          <w:p w14:paraId="16CA68BA"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rPr>
                <w:color w:val="000000"/>
              </w:rPr>
            </w:pPr>
            <w:r w:rsidRPr="00134276">
              <w:rPr>
                <w:color w:val="000000"/>
              </w:rPr>
              <w:t>0.225</w:t>
            </w:r>
          </w:p>
        </w:tc>
      </w:tr>
      <w:tr w:rsidR="006773FB" w:rsidRPr="002D777B" w14:paraId="5728E12F" w14:textId="77777777" w:rsidTr="00103659">
        <w:trPr>
          <w:trHeight w:val="288"/>
        </w:trPr>
        <w:tc>
          <w:tcPr>
            <w:cnfStyle w:val="001000000000" w:firstRow="0" w:lastRow="0" w:firstColumn="1" w:lastColumn="0" w:oddVBand="0" w:evenVBand="0" w:oddHBand="0" w:evenHBand="0" w:firstRowFirstColumn="0" w:firstRowLastColumn="0" w:lastRowFirstColumn="0" w:lastRowLastColumn="0"/>
            <w:tcW w:w="4680" w:type="dxa"/>
            <w:noWrap/>
            <w:hideMark/>
          </w:tcPr>
          <w:p w14:paraId="6A6E6BBC" w14:textId="77777777" w:rsidR="006773FB" w:rsidRPr="00134276" w:rsidRDefault="006773FB" w:rsidP="006773FB">
            <w:pPr>
              <w:pStyle w:val="S1"/>
              <w:rPr>
                <w:b/>
                <w:color w:val="000000"/>
              </w:rPr>
            </w:pPr>
            <w:r w:rsidRPr="00134276">
              <w:rPr>
                <w:color w:val="000000"/>
              </w:rPr>
              <w:t>Concentration of carbon in FID outflow (ng/cm3)</w:t>
            </w:r>
          </w:p>
        </w:tc>
        <w:tc>
          <w:tcPr>
            <w:tcW w:w="1710" w:type="dxa"/>
            <w:noWrap/>
            <w:vAlign w:val="bottom"/>
            <w:hideMark/>
          </w:tcPr>
          <w:p w14:paraId="29280834"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rPr>
                <w:color w:val="000000"/>
              </w:rPr>
            </w:pPr>
            <w:r w:rsidRPr="00134276">
              <w:rPr>
                <w:color w:val="000000"/>
              </w:rPr>
              <w:t>62</w:t>
            </w:r>
          </w:p>
        </w:tc>
        <w:tc>
          <w:tcPr>
            <w:tcW w:w="1710" w:type="dxa"/>
            <w:noWrap/>
            <w:vAlign w:val="bottom"/>
            <w:hideMark/>
          </w:tcPr>
          <w:p w14:paraId="7FCF84DC" w14:textId="77777777" w:rsidR="006773FB" w:rsidRPr="00134276" w:rsidRDefault="006773FB" w:rsidP="006773FB">
            <w:pPr>
              <w:pStyle w:val="S1"/>
              <w:cnfStyle w:val="000000000000" w:firstRow="0" w:lastRow="0" w:firstColumn="0" w:lastColumn="0" w:oddVBand="0" w:evenVBand="0" w:oddHBand="0" w:evenHBand="0" w:firstRowFirstColumn="0" w:firstRowLastColumn="0" w:lastRowFirstColumn="0" w:lastRowLastColumn="0"/>
              <w:rPr>
                <w:color w:val="000000"/>
              </w:rPr>
            </w:pPr>
            <w:r w:rsidRPr="00134276">
              <w:rPr>
                <w:color w:val="000000"/>
              </w:rPr>
              <w:t>0.03</w:t>
            </w:r>
          </w:p>
        </w:tc>
      </w:tr>
      <w:tr w:rsidR="006773FB" w:rsidRPr="002D777B" w14:paraId="0F4F7128" w14:textId="77777777" w:rsidTr="00103659">
        <w:trPr>
          <w:cnfStyle w:val="010000000000" w:firstRow="0" w:lastRow="1"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4680" w:type="dxa"/>
            <w:noWrap/>
            <w:hideMark/>
          </w:tcPr>
          <w:p w14:paraId="5653AC41" w14:textId="77777777" w:rsidR="006773FB" w:rsidRPr="00134276" w:rsidRDefault="006773FB" w:rsidP="006773FB">
            <w:pPr>
              <w:pStyle w:val="S1"/>
              <w:rPr>
                <w:color w:val="000000"/>
              </w:rPr>
            </w:pPr>
            <w:r w:rsidRPr="00134276">
              <w:rPr>
                <w:color w:val="000000"/>
              </w:rPr>
              <w:t>Concentration of carbon in FID outflow (ppb)</w:t>
            </w:r>
          </w:p>
        </w:tc>
        <w:tc>
          <w:tcPr>
            <w:tcW w:w="1710" w:type="dxa"/>
            <w:noWrap/>
            <w:vAlign w:val="bottom"/>
            <w:hideMark/>
          </w:tcPr>
          <w:p w14:paraId="63040DD5" w14:textId="77777777" w:rsidR="006773FB" w:rsidRPr="00134276" w:rsidRDefault="006773FB" w:rsidP="006773FB">
            <w:pPr>
              <w:pStyle w:val="S1"/>
              <w:cnfStyle w:val="010000000000" w:firstRow="0" w:lastRow="1" w:firstColumn="0" w:lastColumn="0" w:oddVBand="0" w:evenVBand="0" w:oddHBand="0" w:evenHBand="0" w:firstRowFirstColumn="0" w:firstRowLastColumn="0" w:lastRowFirstColumn="0" w:lastRowLastColumn="0"/>
              <w:rPr>
                <w:color w:val="000000"/>
              </w:rPr>
            </w:pPr>
            <w:r w:rsidRPr="00134276">
              <w:rPr>
                <w:color w:val="000000"/>
              </w:rPr>
              <w:t xml:space="preserve">      123,840 </w:t>
            </w:r>
          </w:p>
        </w:tc>
        <w:tc>
          <w:tcPr>
            <w:tcW w:w="1710" w:type="dxa"/>
            <w:noWrap/>
            <w:vAlign w:val="bottom"/>
            <w:hideMark/>
          </w:tcPr>
          <w:p w14:paraId="2D938483" w14:textId="77777777" w:rsidR="006773FB" w:rsidRPr="00134276" w:rsidRDefault="006773FB" w:rsidP="006773FB">
            <w:pPr>
              <w:pStyle w:val="S1"/>
              <w:cnfStyle w:val="010000000000" w:firstRow="0" w:lastRow="1" w:firstColumn="0" w:lastColumn="0" w:oddVBand="0" w:evenVBand="0" w:oddHBand="0" w:evenHBand="0" w:firstRowFirstColumn="0" w:firstRowLastColumn="0" w:lastRowFirstColumn="0" w:lastRowLastColumn="0"/>
              <w:rPr>
                <w:color w:val="000000"/>
              </w:rPr>
            </w:pPr>
            <w:r w:rsidRPr="00134276">
              <w:rPr>
                <w:color w:val="000000"/>
              </w:rPr>
              <w:t>68</w:t>
            </w:r>
          </w:p>
        </w:tc>
      </w:tr>
    </w:tbl>
    <w:p w14:paraId="75B4BDA8" w14:textId="77777777" w:rsidR="006773FB" w:rsidRDefault="006773FB" w:rsidP="006773FB">
      <w:pPr>
        <w:rPr>
          <w:rFonts w:cstheme="minorHAnsi"/>
        </w:rPr>
      </w:pPr>
    </w:p>
    <w:p w14:paraId="69811833" w14:textId="77777777" w:rsidR="006773FB" w:rsidRPr="00134276" w:rsidRDefault="006773FB" w:rsidP="000557FB">
      <w:pPr>
        <w:pStyle w:val="Heading1"/>
      </w:pPr>
      <w:r w:rsidRPr="00134276">
        <w:t xml:space="preserve">S2 Theoretical slopes of </w:t>
      </w:r>
      <w:proofErr w:type="spellStart"/>
      <w:r w:rsidRPr="00134276">
        <w:t>rECN</w:t>
      </w:r>
      <w:proofErr w:type="spellEnd"/>
      <w:r w:rsidRPr="00134276">
        <w:tab/>
      </w:r>
    </w:p>
    <w:p w14:paraId="188A49A0" w14:textId="77777777" w:rsidR="006773FB" w:rsidRPr="006773FB" w:rsidRDefault="006773FB" w:rsidP="000557FB">
      <w:pPr>
        <w:rPr>
          <w:b/>
          <w:bCs/>
        </w:rPr>
      </w:pPr>
      <w:r w:rsidRPr="006773FB">
        <w:t xml:space="preserve">A plot of relative ECN versus O/C for three different categories of functional groups is shown in Figure S1. The impact of carbonyls and </w:t>
      </w:r>
      <w:proofErr w:type="spellStart"/>
      <w:r w:rsidRPr="006773FB">
        <w:t>carboxyls</w:t>
      </w:r>
      <w:proofErr w:type="spellEnd"/>
      <w:r w:rsidRPr="006773FB">
        <w:t xml:space="preserve"> (esters/acids) are independent of chemical structure, so </w:t>
      </w:r>
      <w:proofErr w:type="spellStart"/>
      <w:r w:rsidRPr="006773FB">
        <w:t>rECN</w:t>
      </w:r>
      <w:proofErr w:type="spellEnd"/>
      <w:r w:rsidRPr="006773FB">
        <w:t xml:space="preserve"> decreases with O/C at slopes of exactly -1.0 and -0.5, respectively. The impact of hydroxyl groups on </w:t>
      </w:r>
      <w:proofErr w:type="spellStart"/>
      <w:r w:rsidRPr="006773FB">
        <w:t>rECN</w:t>
      </w:r>
      <w:proofErr w:type="spellEnd"/>
      <w:r w:rsidRPr="006773FB">
        <w:t xml:space="preserve"> varies depending on whether the alcohol is primary, secondary, or tertiary, so the average slope is structurally dependent. A representative slope (-0.58) is shown based on the estimated </w:t>
      </w:r>
      <w:proofErr w:type="spellStart"/>
      <w:r w:rsidRPr="006773FB">
        <w:t>rECN</w:t>
      </w:r>
      <w:proofErr w:type="spellEnd"/>
      <w:r w:rsidRPr="006773FB">
        <w:t xml:space="preserve"> of the alcohols provided in Table S1 (R</w:t>
      </w:r>
      <w:r w:rsidRPr="006773FB">
        <w:rPr>
          <w:vertAlign w:val="superscript"/>
        </w:rPr>
        <w:t>2</w:t>
      </w:r>
      <w:r w:rsidRPr="006773FB">
        <w:t xml:space="preserve"> = 0.93). Relative ECN values were calculated based on the method determining ECN of Scanlon and Willis (1985). For all three categories, at least one aromatic and one multifunctional compound were chosen (e.g. benzaldehyde and glyoxal were chosen as carbonyls).  </w:t>
      </w:r>
    </w:p>
    <w:p w14:paraId="0C374496" w14:textId="77777777" w:rsidR="006773FB" w:rsidRDefault="006773FB" w:rsidP="006773FB">
      <w:pPr>
        <w:pStyle w:val="S2"/>
        <w:rPr>
          <w:rFonts w:cstheme="minorHAnsi"/>
        </w:rPr>
      </w:pPr>
    </w:p>
    <w:p w14:paraId="3F4EF094" w14:textId="77777777" w:rsidR="006773FB" w:rsidRDefault="006773FB" w:rsidP="006773FB">
      <w:pPr>
        <w:pStyle w:val="S2"/>
        <w:rPr>
          <w:rFonts w:cstheme="minorHAnsi"/>
        </w:rPr>
      </w:pPr>
      <w:r>
        <w:rPr>
          <w:noProof/>
        </w:rPr>
        <w:lastRenderedPageBreak/>
        <w:drawing>
          <wp:inline distT="0" distB="0" distL="0" distR="0" wp14:anchorId="31152063" wp14:editId="1288476A">
            <wp:extent cx="3945467" cy="2068841"/>
            <wp:effectExtent l="0" t="0" r="0" b="7620"/>
            <wp:docPr id="5" name="Picture 5" descr="A close up of a 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ov18_Functionality_Graph1.jpg"/>
                    <pic:cNvPicPr/>
                  </pic:nvPicPr>
                  <pic:blipFill>
                    <a:blip r:embed="rId8">
                      <a:extLst>
                        <a:ext uri="{28A0092B-C50C-407E-A947-70E740481C1C}">
                          <a14:useLocalDpi xmlns:a14="http://schemas.microsoft.com/office/drawing/2010/main" val="0"/>
                        </a:ext>
                      </a:extLst>
                    </a:blip>
                    <a:stretch>
                      <a:fillRect/>
                    </a:stretch>
                  </pic:blipFill>
                  <pic:spPr>
                    <a:xfrm>
                      <a:off x="0" y="0"/>
                      <a:ext cx="3963770" cy="2078438"/>
                    </a:xfrm>
                    <a:prstGeom prst="rect">
                      <a:avLst/>
                    </a:prstGeom>
                  </pic:spPr>
                </pic:pic>
              </a:graphicData>
            </a:graphic>
          </wp:inline>
        </w:drawing>
      </w:r>
    </w:p>
    <w:p w14:paraId="52703F8C" w14:textId="77777777" w:rsidR="006773FB" w:rsidRDefault="006773FB" w:rsidP="000557FB">
      <w:pPr>
        <w:pStyle w:val="Caption"/>
      </w:pPr>
      <w:r w:rsidRPr="00134276">
        <w:t>Figure S1: Plots of calculated relative ECN (</w:t>
      </w:r>
      <w:proofErr w:type="spellStart"/>
      <w:r w:rsidRPr="00134276">
        <w:t>rECN</w:t>
      </w:r>
      <w:proofErr w:type="spellEnd"/>
      <w:r w:rsidRPr="00134276">
        <w:t>) versus O/C for compounds comprised exclusively of different functional groups.</w:t>
      </w:r>
    </w:p>
    <w:p w14:paraId="3742B946" w14:textId="77777777" w:rsidR="006773FB" w:rsidRPr="00134276" w:rsidRDefault="006773FB" w:rsidP="006773FB">
      <w:pPr>
        <w:pStyle w:val="S2"/>
        <w:rPr>
          <w:sz w:val="18"/>
          <w:szCs w:val="18"/>
        </w:rPr>
      </w:pPr>
    </w:p>
    <w:p w14:paraId="15CA7CFC" w14:textId="77777777" w:rsidR="006773FB" w:rsidRPr="00134276" w:rsidRDefault="006773FB" w:rsidP="000557FB">
      <w:pPr>
        <w:pStyle w:val="Caption"/>
      </w:pPr>
      <w:r w:rsidRPr="00134276">
        <w:t xml:space="preserve">Table S2: List of the compounds used to generate the slope of the relationship between </w:t>
      </w:r>
      <w:proofErr w:type="spellStart"/>
      <w:r w:rsidRPr="00134276">
        <w:t>rECN</w:t>
      </w:r>
      <w:proofErr w:type="spellEnd"/>
      <w:r w:rsidRPr="00134276">
        <w:t xml:space="preserve"> and O/C plot for alcohols.</w:t>
      </w:r>
    </w:p>
    <w:tbl>
      <w:tblPr>
        <w:tblStyle w:val="TableGrid"/>
        <w:tblW w:w="0" w:type="auto"/>
        <w:tblLook w:val="04A0" w:firstRow="1" w:lastRow="0" w:firstColumn="1" w:lastColumn="0" w:noHBand="0" w:noVBand="1"/>
      </w:tblPr>
      <w:tblGrid>
        <w:gridCol w:w="2337"/>
        <w:gridCol w:w="2337"/>
        <w:gridCol w:w="2338"/>
        <w:gridCol w:w="2338"/>
      </w:tblGrid>
      <w:tr w:rsidR="006773FB" w14:paraId="734B2BF8" w14:textId="77777777" w:rsidTr="00103659">
        <w:tc>
          <w:tcPr>
            <w:tcW w:w="2337" w:type="dxa"/>
          </w:tcPr>
          <w:p w14:paraId="14299F20" w14:textId="77777777" w:rsidR="006773FB" w:rsidRPr="00134276" w:rsidRDefault="006773FB" w:rsidP="006773FB">
            <w:pPr>
              <w:pStyle w:val="S2"/>
            </w:pPr>
            <w:r w:rsidRPr="00134276">
              <w:t>Compound</w:t>
            </w:r>
          </w:p>
        </w:tc>
        <w:tc>
          <w:tcPr>
            <w:tcW w:w="2337" w:type="dxa"/>
          </w:tcPr>
          <w:p w14:paraId="1BCA3E5B" w14:textId="77777777" w:rsidR="006773FB" w:rsidRPr="00134276" w:rsidRDefault="006773FB" w:rsidP="006773FB">
            <w:pPr>
              <w:pStyle w:val="S2"/>
            </w:pPr>
            <w:r w:rsidRPr="00134276">
              <w:t>Formula</w:t>
            </w:r>
          </w:p>
        </w:tc>
        <w:tc>
          <w:tcPr>
            <w:tcW w:w="2338" w:type="dxa"/>
          </w:tcPr>
          <w:p w14:paraId="38C6F796" w14:textId="77777777" w:rsidR="006773FB" w:rsidRPr="00134276" w:rsidRDefault="006773FB" w:rsidP="006773FB">
            <w:pPr>
              <w:pStyle w:val="S2"/>
            </w:pPr>
            <w:r w:rsidRPr="00134276">
              <w:t>O/C</w:t>
            </w:r>
          </w:p>
        </w:tc>
        <w:tc>
          <w:tcPr>
            <w:tcW w:w="2338" w:type="dxa"/>
          </w:tcPr>
          <w:p w14:paraId="4414F6C1" w14:textId="77777777" w:rsidR="006773FB" w:rsidRPr="00134276" w:rsidRDefault="006773FB" w:rsidP="006773FB">
            <w:pPr>
              <w:pStyle w:val="S2"/>
            </w:pPr>
            <w:r w:rsidRPr="00134276">
              <w:t>Relative ECN</w:t>
            </w:r>
          </w:p>
        </w:tc>
      </w:tr>
      <w:tr w:rsidR="006773FB" w14:paraId="7235B516" w14:textId="77777777" w:rsidTr="00103659">
        <w:tc>
          <w:tcPr>
            <w:tcW w:w="2337" w:type="dxa"/>
          </w:tcPr>
          <w:p w14:paraId="25E2AB7A" w14:textId="77777777" w:rsidR="006773FB" w:rsidRPr="006773FB" w:rsidRDefault="006773FB" w:rsidP="006773FB">
            <w:pPr>
              <w:pStyle w:val="S2"/>
              <w:rPr>
                <w:b w:val="0"/>
                <w:bCs w:val="0"/>
              </w:rPr>
            </w:pPr>
            <w:r w:rsidRPr="006773FB">
              <w:rPr>
                <w:b w:val="0"/>
                <w:bCs w:val="0"/>
              </w:rPr>
              <w:t>1,3,5-Hexanetriol</w:t>
            </w:r>
          </w:p>
        </w:tc>
        <w:tc>
          <w:tcPr>
            <w:tcW w:w="2337" w:type="dxa"/>
          </w:tcPr>
          <w:p w14:paraId="03D92DD5" w14:textId="77777777" w:rsidR="006773FB" w:rsidRPr="006773FB" w:rsidRDefault="006773FB" w:rsidP="006773FB">
            <w:pPr>
              <w:pStyle w:val="S2"/>
              <w:rPr>
                <w:b w:val="0"/>
                <w:bCs w:val="0"/>
              </w:rPr>
            </w:pPr>
            <w:r w:rsidRPr="006773FB">
              <w:rPr>
                <w:b w:val="0"/>
                <w:bCs w:val="0"/>
              </w:rPr>
              <w:t>C</w:t>
            </w:r>
            <w:r w:rsidRPr="006773FB">
              <w:rPr>
                <w:b w:val="0"/>
                <w:bCs w:val="0"/>
                <w:vertAlign w:val="subscript"/>
              </w:rPr>
              <w:t>6</w:t>
            </w:r>
            <w:r w:rsidRPr="006773FB">
              <w:rPr>
                <w:b w:val="0"/>
                <w:bCs w:val="0"/>
              </w:rPr>
              <w:t>H</w:t>
            </w:r>
            <w:r w:rsidRPr="006773FB">
              <w:rPr>
                <w:b w:val="0"/>
                <w:bCs w:val="0"/>
                <w:vertAlign w:val="subscript"/>
              </w:rPr>
              <w:t>14</w:t>
            </w:r>
            <w:r w:rsidRPr="006773FB">
              <w:rPr>
                <w:b w:val="0"/>
                <w:bCs w:val="0"/>
              </w:rPr>
              <w:t>O</w:t>
            </w:r>
            <w:r w:rsidRPr="006773FB">
              <w:rPr>
                <w:b w:val="0"/>
                <w:bCs w:val="0"/>
                <w:vertAlign w:val="subscript"/>
              </w:rPr>
              <w:t>3</w:t>
            </w:r>
          </w:p>
        </w:tc>
        <w:tc>
          <w:tcPr>
            <w:tcW w:w="2338" w:type="dxa"/>
          </w:tcPr>
          <w:p w14:paraId="3DBFF4EF" w14:textId="77777777" w:rsidR="006773FB" w:rsidRPr="006773FB" w:rsidRDefault="006773FB" w:rsidP="006773FB">
            <w:pPr>
              <w:pStyle w:val="S2"/>
              <w:rPr>
                <w:b w:val="0"/>
                <w:bCs w:val="0"/>
              </w:rPr>
            </w:pPr>
            <w:r w:rsidRPr="006773FB">
              <w:rPr>
                <w:b w:val="0"/>
                <w:bCs w:val="0"/>
              </w:rPr>
              <w:t>0.5</w:t>
            </w:r>
          </w:p>
        </w:tc>
        <w:tc>
          <w:tcPr>
            <w:tcW w:w="2338" w:type="dxa"/>
          </w:tcPr>
          <w:p w14:paraId="08244347" w14:textId="77777777" w:rsidR="006773FB" w:rsidRPr="006773FB" w:rsidRDefault="006773FB" w:rsidP="006773FB">
            <w:pPr>
              <w:pStyle w:val="S2"/>
              <w:rPr>
                <w:b w:val="0"/>
                <w:bCs w:val="0"/>
              </w:rPr>
            </w:pPr>
            <w:r w:rsidRPr="006773FB">
              <w:rPr>
                <w:b w:val="0"/>
                <w:bCs w:val="0"/>
              </w:rPr>
              <w:t>0.667</w:t>
            </w:r>
          </w:p>
        </w:tc>
      </w:tr>
      <w:tr w:rsidR="006773FB" w14:paraId="3C950F93" w14:textId="77777777" w:rsidTr="00103659">
        <w:tc>
          <w:tcPr>
            <w:tcW w:w="2337" w:type="dxa"/>
          </w:tcPr>
          <w:p w14:paraId="1170F2F9" w14:textId="77777777" w:rsidR="006773FB" w:rsidRPr="006773FB" w:rsidRDefault="006773FB" w:rsidP="006773FB">
            <w:pPr>
              <w:pStyle w:val="S2"/>
              <w:rPr>
                <w:b w:val="0"/>
                <w:bCs w:val="0"/>
              </w:rPr>
            </w:pPr>
            <w:r w:rsidRPr="006773FB">
              <w:rPr>
                <w:b w:val="0"/>
                <w:bCs w:val="0"/>
              </w:rPr>
              <w:t>2,3,4-Pentanetriol</w:t>
            </w:r>
          </w:p>
        </w:tc>
        <w:tc>
          <w:tcPr>
            <w:tcW w:w="2337" w:type="dxa"/>
          </w:tcPr>
          <w:p w14:paraId="3525F62D" w14:textId="77777777" w:rsidR="006773FB" w:rsidRPr="006773FB" w:rsidRDefault="006773FB" w:rsidP="006773FB">
            <w:pPr>
              <w:pStyle w:val="S2"/>
              <w:rPr>
                <w:b w:val="0"/>
                <w:bCs w:val="0"/>
              </w:rPr>
            </w:pPr>
            <w:r w:rsidRPr="006773FB">
              <w:rPr>
                <w:b w:val="0"/>
                <w:bCs w:val="0"/>
              </w:rPr>
              <w:t>C</w:t>
            </w:r>
            <w:r w:rsidRPr="006773FB">
              <w:rPr>
                <w:b w:val="0"/>
                <w:bCs w:val="0"/>
                <w:vertAlign w:val="subscript"/>
              </w:rPr>
              <w:t>5</w:t>
            </w:r>
            <w:r w:rsidRPr="006773FB">
              <w:rPr>
                <w:b w:val="0"/>
                <w:bCs w:val="0"/>
              </w:rPr>
              <w:t>H</w:t>
            </w:r>
            <w:r w:rsidRPr="006773FB">
              <w:rPr>
                <w:b w:val="0"/>
                <w:bCs w:val="0"/>
                <w:vertAlign w:val="subscript"/>
              </w:rPr>
              <w:t>12</w:t>
            </w:r>
            <w:r w:rsidRPr="006773FB">
              <w:rPr>
                <w:b w:val="0"/>
                <w:bCs w:val="0"/>
              </w:rPr>
              <w:t>O</w:t>
            </w:r>
            <w:r w:rsidRPr="006773FB">
              <w:rPr>
                <w:b w:val="0"/>
                <w:bCs w:val="0"/>
                <w:vertAlign w:val="subscript"/>
              </w:rPr>
              <w:t>3</w:t>
            </w:r>
          </w:p>
        </w:tc>
        <w:tc>
          <w:tcPr>
            <w:tcW w:w="2338" w:type="dxa"/>
          </w:tcPr>
          <w:p w14:paraId="0C61ED46" w14:textId="77777777" w:rsidR="006773FB" w:rsidRPr="006773FB" w:rsidRDefault="006773FB" w:rsidP="006773FB">
            <w:pPr>
              <w:pStyle w:val="S2"/>
              <w:rPr>
                <w:b w:val="0"/>
                <w:bCs w:val="0"/>
              </w:rPr>
            </w:pPr>
            <w:r w:rsidRPr="006773FB">
              <w:rPr>
                <w:b w:val="0"/>
                <w:bCs w:val="0"/>
              </w:rPr>
              <w:t>0.6</w:t>
            </w:r>
          </w:p>
        </w:tc>
        <w:tc>
          <w:tcPr>
            <w:tcW w:w="2338" w:type="dxa"/>
          </w:tcPr>
          <w:p w14:paraId="23D85080" w14:textId="77777777" w:rsidR="006773FB" w:rsidRPr="006773FB" w:rsidRDefault="006773FB" w:rsidP="006773FB">
            <w:pPr>
              <w:pStyle w:val="S2"/>
              <w:rPr>
                <w:b w:val="0"/>
                <w:bCs w:val="0"/>
              </w:rPr>
            </w:pPr>
            <w:r w:rsidRPr="006773FB">
              <w:rPr>
                <w:b w:val="0"/>
                <w:bCs w:val="0"/>
              </w:rPr>
              <w:t>0.55</w:t>
            </w:r>
          </w:p>
        </w:tc>
      </w:tr>
      <w:tr w:rsidR="006773FB" w14:paraId="7CABAD5D" w14:textId="77777777" w:rsidTr="00103659">
        <w:tc>
          <w:tcPr>
            <w:tcW w:w="2337" w:type="dxa"/>
          </w:tcPr>
          <w:p w14:paraId="3D834269" w14:textId="77777777" w:rsidR="006773FB" w:rsidRPr="006773FB" w:rsidRDefault="006773FB" w:rsidP="006773FB">
            <w:pPr>
              <w:pStyle w:val="S2"/>
              <w:rPr>
                <w:b w:val="0"/>
                <w:bCs w:val="0"/>
              </w:rPr>
            </w:pPr>
            <w:r w:rsidRPr="006773FB">
              <w:rPr>
                <w:b w:val="0"/>
                <w:bCs w:val="0"/>
              </w:rPr>
              <w:t>Propylene glycol</w:t>
            </w:r>
          </w:p>
        </w:tc>
        <w:tc>
          <w:tcPr>
            <w:tcW w:w="2337" w:type="dxa"/>
          </w:tcPr>
          <w:p w14:paraId="6F977EF9" w14:textId="77777777" w:rsidR="006773FB" w:rsidRPr="006773FB" w:rsidRDefault="006773FB" w:rsidP="006773FB">
            <w:pPr>
              <w:pStyle w:val="S2"/>
              <w:rPr>
                <w:b w:val="0"/>
                <w:bCs w:val="0"/>
              </w:rPr>
            </w:pPr>
            <w:r w:rsidRPr="006773FB">
              <w:rPr>
                <w:b w:val="0"/>
                <w:bCs w:val="0"/>
              </w:rPr>
              <w:t>C</w:t>
            </w:r>
            <w:r w:rsidRPr="006773FB">
              <w:rPr>
                <w:b w:val="0"/>
                <w:bCs w:val="0"/>
                <w:vertAlign w:val="subscript"/>
              </w:rPr>
              <w:t>3</w:t>
            </w:r>
            <w:r w:rsidRPr="006773FB">
              <w:rPr>
                <w:b w:val="0"/>
                <w:bCs w:val="0"/>
              </w:rPr>
              <w:t>H</w:t>
            </w:r>
            <w:r w:rsidRPr="006773FB">
              <w:rPr>
                <w:b w:val="0"/>
                <w:bCs w:val="0"/>
                <w:vertAlign w:val="subscript"/>
              </w:rPr>
              <w:t>8</w:t>
            </w:r>
            <w:r w:rsidRPr="006773FB">
              <w:rPr>
                <w:b w:val="0"/>
                <w:bCs w:val="0"/>
              </w:rPr>
              <w:t>O</w:t>
            </w:r>
            <w:r w:rsidRPr="006773FB">
              <w:rPr>
                <w:b w:val="0"/>
                <w:bCs w:val="0"/>
                <w:vertAlign w:val="subscript"/>
              </w:rPr>
              <w:t>2</w:t>
            </w:r>
          </w:p>
        </w:tc>
        <w:tc>
          <w:tcPr>
            <w:tcW w:w="2338" w:type="dxa"/>
          </w:tcPr>
          <w:p w14:paraId="21EF0594" w14:textId="77777777" w:rsidR="006773FB" w:rsidRPr="006773FB" w:rsidRDefault="006773FB" w:rsidP="006773FB">
            <w:pPr>
              <w:pStyle w:val="S2"/>
              <w:rPr>
                <w:b w:val="0"/>
                <w:bCs w:val="0"/>
              </w:rPr>
            </w:pPr>
            <w:r w:rsidRPr="006773FB">
              <w:rPr>
                <w:b w:val="0"/>
                <w:bCs w:val="0"/>
              </w:rPr>
              <w:t>0.667</w:t>
            </w:r>
          </w:p>
        </w:tc>
        <w:tc>
          <w:tcPr>
            <w:tcW w:w="2338" w:type="dxa"/>
          </w:tcPr>
          <w:p w14:paraId="69B5C0A0" w14:textId="77777777" w:rsidR="006773FB" w:rsidRPr="006773FB" w:rsidRDefault="006773FB" w:rsidP="006773FB">
            <w:pPr>
              <w:pStyle w:val="S2"/>
              <w:rPr>
                <w:b w:val="0"/>
                <w:bCs w:val="0"/>
              </w:rPr>
            </w:pPr>
            <w:r w:rsidRPr="006773FB">
              <w:rPr>
                <w:b w:val="0"/>
                <w:bCs w:val="0"/>
              </w:rPr>
              <w:t>0.583</w:t>
            </w:r>
          </w:p>
        </w:tc>
      </w:tr>
      <w:tr w:rsidR="006773FB" w14:paraId="74763E28" w14:textId="77777777" w:rsidTr="00103659">
        <w:tc>
          <w:tcPr>
            <w:tcW w:w="2337" w:type="dxa"/>
          </w:tcPr>
          <w:p w14:paraId="6126B08F" w14:textId="77777777" w:rsidR="006773FB" w:rsidRPr="006773FB" w:rsidRDefault="006773FB" w:rsidP="006773FB">
            <w:pPr>
              <w:pStyle w:val="S2"/>
              <w:rPr>
                <w:b w:val="0"/>
                <w:bCs w:val="0"/>
              </w:rPr>
            </w:pPr>
            <w:r w:rsidRPr="006773FB">
              <w:rPr>
                <w:b w:val="0"/>
                <w:bCs w:val="0"/>
              </w:rPr>
              <w:t>Pentaerythritol</w:t>
            </w:r>
          </w:p>
        </w:tc>
        <w:tc>
          <w:tcPr>
            <w:tcW w:w="2337" w:type="dxa"/>
          </w:tcPr>
          <w:p w14:paraId="24504DD2" w14:textId="77777777" w:rsidR="006773FB" w:rsidRPr="006773FB" w:rsidRDefault="006773FB" w:rsidP="006773FB">
            <w:pPr>
              <w:pStyle w:val="S2"/>
              <w:rPr>
                <w:b w:val="0"/>
                <w:bCs w:val="0"/>
              </w:rPr>
            </w:pPr>
            <w:r w:rsidRPr="006773FB">
              <w:rPr>
                <w:b w:val="0"/>
                <w:bCs w:val="0"/>
              </w:rPr>
              <w:t>C</w:t>
            </w:r>
            <w:r w:rsidRPr="006773FB">
              <w:rPr>
                <w:b w:val="0"/>
                <w:bCs w:val="0"/>
                <w:vertAlign w:val="subscript"/>
              </w:rPr>
              <w:t>5</w:t>
            </w:r>
            <w:r w:rsidRPr="006773FB">
              <w:rPr>
                <w:b w:val="0"/>
                <w:bCs w:val="0"/>
              </w:rPr>
              <w:t>H</w:t>
            </w:r>
            <w:r w:rsidRPr="006773FB">
              <w:rPr>
                <w:b w:val="0"/>
                <w:bCs w:val="0"/>
                <w:vertAlign w:val="subscript"/>
              </w:rPr>
              <w:t>12</w:t>
            </w:r>
            <w:r w:rsidRPr="006773FB">
              <w:rPr>
                <w:b w:val="0"/>
                <w:bCs w:val="0"/>
              </w:rPr>
              <w:t>O</w:t>
            </w:r>
            <w:r w:rsidRPr="006773FB">
              <w:rPr>
                <w:b w:val="0"/>
                <w:bCs w:val="0"/>
                <w:vertAlign w:val="subscript"/>
              </w:rPr>
              <w:t>4</w:t>
            </w:r>
          </w:p>
        </w:tc>
        <w:tc>
          <w:tcPr>
            <w:tcW w:w="2338" w:type="dxa"/>
          </w:tcPr>
          <w:p w14:paraId="37C62C09" w14:textId="77777777" w:rsidR="006773FB" w:rsidRPr="006773FB" w:rsidRDefault="006773FB" w:rsidP="006773FB">
            <w:pPr>
              <w:pStyle w:val="S2"/>
              <w:rPr>
                <w:b w:val="0"/>
                <w:bCs w:val="0"/>
              </w:rPr>
            </w:pPr>
            <w:r w:rsidRPr="006773FB">
              <w:rPr>
                <w:b w:val="0"/>
                <w:bCs w:val="0"/>
              </w:rPr>
              <w:t>0.8</w:t>
            </w:r>
          </w:p>
        </w:tc>
        <w:tc>
          <w:tcPr>
            <w:tcW w:w="2338" w:type="dxa"/>
          </w:tcPr>
          <w:p w14:paraId="48941855" w14:textId="77777777" w:rsidR="006773FB" w:rsidRPr="006773FB" w:rsidRDefault="006773FB" w:rsidP="006773FB">
            <w:pPr>
              <w:pStyle w:val="S2"/>
              <w:rPr>
                <w:b w:val="0"/>
                <w:bCs w:val="0"/>
              </w:rPr>
            </w:pPr>
            <w:r w:rsidRPr="006773FB">
              <w:rPr>
                <w:b w:val="0"/>
                <w:bCs w:val="0"/>
              </w:rPr>
              <w:t>0.6</w:t>
            </w:r>
          </w:p>
        </w:tc>
      </w:tr>
      <w:tr w:rsidR="006773FB" w14:paraId="3B0CED1E" w14:textId="77777777" w:rsidTr="00103659">
        <w:tc>
          <w:tcPr>
            <w:tcW w:w="2337" w:type="dxa"/>
          </w:tcPr>
          <w:p w14:paraId="773B7718" w14:textId="77777777" w:rsidR="006773FB" w:rsidRPr="006773FB" w:rsidRDefault="006773FB" w:rsidP="006773FB">
            <w:pPr>
              <w:pStyle w:val="S2"/>
              <w:rPr>
                <w:b w:val="0"/>
                <w:bCs w:val="0"/>
              </w:rPr>
            </w:pPr>
            <w:r w:rsidRPr="006773FB">
              <w:rPr>
                <w:b w:val="0"/>
                <w:bCs w:val="0"/>
              </w:rPr>
              <w:t>Glycerol</w:t>
            </w:r>
          </w:p>
        </w:tc>
        <w:tc>
          <w:tcPr>
            <w:tcW w:w="2337" w:type="dxa"/>
          </w:tcPr>
          <w:p w14:paraId="3F54C995" w14:textId="77777777" w:rsidR="006773FB" w:rsidRPr="006773FB" w:rsidRDefault="006773FB" w:rsidP="006773FB">
            <w:pPr>
              <w:pStyle w:val="S2"/>
              <w:rPr>
                <w:b w:val="0"/>
                <w:bCs w:val="0"/>
              </w:rPr>
            </w:pPr>
            <w:r w:rsidRPr="006773FB">
              <w:rPr>
                <w:b w:val="0"/>
                <w:bCs w:val="0"/>
              </w:rPr>
              <w:t>C</w:t>
            </w:r>
            <w:r w:rsidRPr="006773FB">
              <w:rPr>
                <w:b w:val="0"/>
                <w:bCs w:val="0"/>
                <w:vertAlign w:val="subscript"/>
              </w:rPr>
              <w:t>3</w:t>
            </w:r>
            <w:r w:rsidRPr="006773FB">
              <w:rPr>
                <w:b w:val="0"/>
                <w:bCs w:val="0"/>
              </w:rPr>
              <w:t>H</w:t>
            </w:r>
            <w:r w:rsidRPr="006773FB">
              <w:rPr>
                <w:b w:val="0"/>
                <w:bCs w:val="0"/>
                <w:vertAlign w:val="subscript"/>
              </w:rPr>
              <w:t>8</w:t>
            </w:r>
            <w:r w:rsidRPr="006773FB">
              <w:rPr>
                <w:b w:val="0"/>
                <w:bCs w:val="0"/>
              </w:rPr>
              <w:t>O</w:t>
            </w:r>
            <w:r w:rsidRPr="006773FB">
              <w:rPr>
                <w:b w:val="0"/>
                <w:bCs w:val="0"/>
                <w:vertAlign w:val="subscript"/>
              </w:rPr>
              <w:t>3</w:t>
            </w:r>
          </w:p>
        </w:tc>
        <w:tc>
          <w:tcPr>
            <w:tcW w:w="2338" w:type="dxa"/>
          </w:tcPr>
          <w:p w14:paraId="32C62854" w14:textId="77777777" w:rsidR="006773FB" w:rsidRPr="006773FB" w:rsidRDefault="006773FB" w:rsidP="006773FB">
            <w:pPr>
              <w:pStyle w:val="S2"/>
              <w:rPr>
                <w:b w:val="0"/>
                <w:bCs w:val="0"/>
              </w:rPr>
            </w:pPr>
            <w:r w:rsidRPr="006773FB">
              <w:rPr>
                <w:b w:val="0"/>
                <w:bCs w:val="0"/>
              </w:rPr>
              <w:t>1</w:t>
            </w:r>
          </w:p>
        </w:tc>
        <w:tc>
          <w:tcPr>
            <w:tcW w:w="2338" w:type="dxa"/>
          </w:tcPr>
          <w:p w14:paraId="7705F820" w14:textId="77777777" w:rsidR="006773FB" w:rsidRPr="006773FB" w:rsidRDefault="006773FB" w:rsidP="006773FB">
            <w:pPr>
              <w:pStyle w:val="S2"/>
              <w:rPr>
                <w:b w:val="0"/>
                <w:bCs w:val="0"/>
              </w:rPr>
            </w:pPr>
            <w:r w:rsidRPr="006773FB">
              <w:rPr>
                <w:b w:val="0"/>
                <w:bCs w:val="0"/>
              </w:rPr>
              <w:t>0.417</w:t>
            </w:r>
          </w:p>
        </w:tc>
      </w:tr>
      <w:tr w:rsidR="006773FB" w14:paraId="2268A3D2" w14:textId="77777777" w:rsidTr="00103659">
        <w:tc>
          <w:tcPr>
            <w:tcW w:w="2337" w:type="dxa"/>
          </w:tcPr>
          <w:p w14:paraId="79F17DB9" w14:textId="77777777" w:rsidR="006773FB" w:rsidRPr="006773FB" w:rsidRDefault="006773FB" w:rsidP="006773FB">
            <w:pPr>
              <w:pStyle w:val="S2"/>
              <w:rPr>
                <w:b w:val="0"/>
                <w:bCs w:val="0"/>
              </w:rPr>
            </w:pPr>
            <w:r w:rsidRPr="006773FB">
              <w:rPr>
                <w:b w:val="0"/>
                <w:bCs w:val="0"/>
              </w:rPr>
              <w:t>1-Butanol</w:t>
            </w:r>
          </w:p>
        </w:tc>
        <w:tc>
          <w:tcPr>
            <w:tcW w:w="2337" w:type="dxa"/>
          </w:tcPr>
          <w:p w14:paraId="40711CA4" w14:textId="77777777" w:rsidR="006773FB" w:rsidRPr="006773FB" w:rsidRDefault="006773FB" w:rsidP="006773FB">
            <w:pPr>
              <w:pStyle w:val="S2"/>
              <w:rPr>
                <w:b w:val="0"/>
                <w:bCs w:val="0"/>
              </w:rPr>
            </w:pPr>
            <w:r w:rsidRPr="006773FB">
              <w:rPr>
                <w:b w:val="0"/>
                <w:bCs w:val="0"/>
              </w:rPr>
              <w:t>C</w:t>
            </w:r>
            <w:r w:rsidRPr="006773FB">
              <w:rPr>
                <w:b w:val="0"/>
                <w:bCs w:val="0"/>
                <w:vertAlign w:val="subscript"/>
              </w:rPr>
              <w:t>4</w:t>
            </w:r>
            <w:r w:rsidRPr="006773FB">
              <w:rPr>
                <w:b w:val="0"/>
                <w:bCs w:val="0"/>
              </w:rPr>
              <w:t>H</w:t>
            </w:r>
            <w:r w:rsidRPr="006773FB">
              <w:rPr>
                <w:b w:val="0"/>
                <w:bCs w:val="0"/>
                <w:vertAlign w:val="subscript"/>
              </w:rPr>
              <w:t>10</w:t>
            </w:r>
            <w:r w:rsidRPr="006773FB">
              <w:rPr>
                <w:b w:val="0"/>
                <w:bCs w:val="0"/>
              </w:rPr>
              <w:t>O</w:t>
            </w:r>
          </w:p>
        </w:tc>
        <w:tc>
          <w:tcPr>
            <w:tcW w:w="2338" w:type="dxa"/>
          </w:tcPr>
          <w:p w14:paraId="4E6491EC" w14:textId="77777777" w:rsidR="006773FB" w:rsidRPr="006773FB" w:rsidRDefault="006773FB" w:rsidP="006773FB">
            <w:pPr>
              <w:pStyle w:val="S2"/>
              <w:rPr>
                <w:b w:val="0"/>
                <w:bCs w:val="0"/>
              </w:rPr>
            </w:pPr>
            <w:r w:rsidRPr="006773FB">
              <w:rPr>
                <w:b w:val="0"/>
                <w:bCs w:val="0"/>
              </w:rPr>
              <w:t>0.25</w:t>
            </w:r>
          </w:p>
        </w:tc>
        <w:tc>
          <w:tcPr>
            <w:tcW w:w="2338" w:type="dxa"/>
          </w:tcPr>
          <w:p w14:paraId="033EFC7B" w14:textId="77777777" w:rsidR="006773FB" w:rsidRPr="006773FB" w:rsidRDefault="006773FB" w:rsidP="006773FB">
            <w:pPr>
              <w:pStyle w:val="S2"/>
              <w:rPr>
                <w:b w:val="0"/>
                <w:bCs w:val="0"/>
              </w:rPr>
            </w:pPr>
            <w:r w:rsidRPr="006773FB">
              <w:rPr>
                <w:b w:val="0"/>
                <w:bCs w:val="0"/>
              </w:rPr>
              <w:t>0.875</w:t>
            </w:r>
          </w:p>
        </w:tc>
      </w:tr>
      <w:tr w:rsidR="006773FB" w14:paraId="4E704A11" w14:textId="77777777" w:rsidTr="00103659">
        <w:tc>
          <w:tcPr>
            <w:tcW w:w="2337" w:type="dxa"/>
          </w:tcPr>
          <w:p w14:paraId="23617E6B" w14:textId="77777777" w:rsidR="006773FB" w:rsidRPr="006773FB" w:rsidRDefault="006773FB" w:rsidP="006773FB">
            <w:pPr>
              <w:pStyle w:val="S2"/>
              <w:rPr>
                <w:b w:val="0"/>
                <w:bCs w:val="0"/>
              </w:rPr>
            </w:pPr>
            <w:r w:rsidRPr="006773FB">
              <w:rPr>
                <w:b w:val="0"/>
                <w:bCs w:val="0"/>
              </w:rPr>
              <w:t>1-Octanol</w:t>
            </w:r>
          </w:p>
        </w:tc>
        <w:tc>
          <w:tcPr>
            <w:tcW w:w="2337" w:type="dxa"/>
          </w:tcPr>
          <w:p w14:paraId="6E3B9227" w14:textId="77777777" w:rsidR="006773FB" w:rsidRPr="006773FB" w:rsidRDefault="006773FB" w:rsidP="006773FB">
            <w:pPr>
              <w:pStyle w:val="S2"/>
              <w:rPr>
                <w:b w:val="0"/>
                <w:bCs w:val="0"/>
              </w:rPr>
            </w:pPr>
            <w:r w:rsidRPr="006773FB">
              <w:rPr>
                <w:b w:val="0"/>
                <w:bCs w:val="0"/>
              </w:rPr>
              <w:t>C</w:t>
            </w:r>
            <w:r w:rsidRPr="006773FB">
              <w:rPr>
                <w:b w:val="0"/>
                <w:bCs w:val="0"/>
                <w:vertAlign w:val="subscript"/>
              </w:rPr>
              <w:t>8</w:t>
            </w:r>
            <w:r w:rsidRPr="006773FB">
              <w:rPr>
                <w:b w:val="0"/>
                <w:bCs w:val="0"/>
              </w:rPr>
              <w:t>H</w:t>
            </w:r>
            <w:r w:rsidRPr="006773FB">
              <w:rPr>
                <w:b w:val="0"/>
                <w:bCs w:val="0"/>
                <w:vertAlign w:val="subscript"/>
              </w:rPr>
              <w:t>18</w:t>
            </w:r>
            <w:r w:rsidRPr="006773FB">
              <w:rPr>
                <w:b w:val="0"/>
                <w:bCs w:val="0"/>
              </w:rPr>
              <w:t>O</w:t>
            </w:r>
          </w:p>
        </w:tc>
        <w:tc>
          <w:tcPr>
            <w:tcW w:w="2338" w:type="dxa"/>
          </w:tcPr>
          <w:p w14:paraId="7E62E6B6" w14:textId="77777777" w:rsidR="006773FB" w:rsidRPr="006773FB" w:rsidRDefault="006773FB" w:rsidP="006773FB">
            <w:pPr>
              <w:pStyle w:val="S2"/>
              <w:rPr>
                <w:b w:val="0"/>
                <w:bCs w:val="0"/>
              </w:rPr>
            </w:pPr>
            <w:r w:rsidRPr="006773FB">
              <w:rPr>
                <w:b w:val="0"/>
                <w:bCs w:val="0"/>
              </w:rPr>
              <w:t>0.125</w:t>
            </w:r>
          </w:p>
        </w:tc>
        <w:tc>
          <w:tcPr>
            <w:tcW w:w="2338" w:type="dxa"/>
          </w:tcPr>
          <w:p w14:paraId="3339E0C2" w14:textId="77777777" w:rsidR="006773FB" w:rsidRPr="006773FB" w:rsidRDefault="006773FB" w:rsidP="006773FB">
            <w:pPr>
              <w:pStyle w:val="S2"/>
              <w:rPr>
                <w:b w:val="0"/>
                <w:bCs w:val="0"/>
              </w:rPr>
            </w:pPr>
            <w:r w:rsidRPr="006773FB">
              <w:rPr>
                <w:b w:val="0"/>
                <w:bCs w:val="0"/>
              </w:rPr>
              <w:t>0.938</w:t>
            </w:r>
          </w:p>
        </w:tc>
      </w:tr>
      <w:tr w:rsidR="006773FB" w14:paraId="6776008A" w14:textId="77777777" w:rsidTr="00103659">
        <w:tc>
          <w:tcPr>
            <w:tcW w:w="2337" w:type="dxa"/>
          </w:tcPr>
          <w:p w14:paraId="44D654FA" w14:textId="77777777" w:rsidR="006773FB" w:rsidRPr="006773FB" w:rsidRDefault="006773FB" w:rsidP="006773FB">
            <w:pPr>
              <w:pStyle w:val="S2"/>
              <w:rPr>
                <w:b w:val="0"/>
                <w:bCs w:val="0"/>
              </w:rPr>
            </w:pPr>
            <w:r w:rsidRPr="006773FB">
              <w:rPr>
                <w:b w:val="0"/>
                <w:bCs w:val="0"/>
              </w:rPr>
              <w:t>Isopropanol</w:t>
            </w:r>
          </w:p>
        </w:tc>
        <w:tc>
          <w:tcPr>
            <w:tcW w:w="2337" w:type="dxa"/>
          </w:tcPr>
          <w:p w14:paraId="6D86DCC0" w14:textId="77777777" w:rsidR="006773FB" w:rsidRPr="006773FB" w:rsidRDefault="006773FB" w:rsidP="006773FB">
            <w:pPr>
              <w:pStyle w:val="S2"/>
              <w:rPr>
                <w:b w:val="0"/>
                <w:bCs w:val="0"/>
              </w:rPr>
            </w:pPr>
            <w:r w:rsidRPr="006773FB">
              <w:rPr>
                <w:b w:val="0"/>
                <w:bCs w:val="0"/>
              </w:rPr>
              <w:t>C</w:t>
            </w:r>
            <w:r w:rsidRPr="006773FB">
              <w:rPr>
                <w:b w:val="0"/>
                <w:bCs w:val="0"/>
                <w:vertAlign w:val="subscript"/>
              </w:rPr>
              <w:t>3</w:t>
            </w:r>
            <w:r w:rsidRPr="006773FB">
              <w:rPr>
                <w:b w:val="0"/>
                <w:bCs w:val="0"/>
              </w:rPr>
              <w:t>H</w:t>
            </w:r>
            <w:r w:rsidRPr="006773FB">
              <w:rPr>
                <w:b w:val="0"/>
                <w:bCs w:val="0"/>
                <w:vertAlign w:val="subscript"/>
              </w:rPr>
              <w:t>8</w:t>
            </w:r>
            <w:r w:rsidRPr="006773FB">
              <w:rPr>
                <w:b w:val="0"/>
                <w:bCs w:val="0"/>
              </w:rPr>
              <w:t>O</w:t>
            </w:r>
          </w:p>
        </w:tc>
        <w:tc>
          <w:tcPr>
            <w:tcW w:w="2338" w:type="dxa"/>
          </w:tcPr>
          <w:p w14:paraId="69CF9B19" w14:textId="77777777" w:rsidR="006773FB" w:rsidRPr="006773FB" w:rsidRDefault="006773FB" w:rsidP="006773FB">
            <w:pPr>
              <w:pStyle w:val="S2"/>
              <w:rPr>
                <w:b w:val="0"/>
                <w:bCs w:val="0"/>
              </w:rPr>
            </w:pPr>
            <w:r w:rsidRPr="006773FB">
              <w:rPr>
                <w:b w:val="0"/>
                <w:bCs w:val="0"/>
              </w:rPr>
              <w:t>0.333</w:t>
            </w:r>
          </w:p>
        </w:tc>
        <w:tc>
          <w:tcPr>
            <w:tcW w:w="2338" w:type="dxa"/>
          </w:tcPr>
          <w:p w14:paraId="5C7DF6E8" w14:textId="77777777" w:rsidR="006773FB" w:rsidRPr="006773FB" w:rsidRDefault="006773FB" w:rsidP="006773FB">
            <w:pPr>
              <w:pStyle w:val="S2"/>
              <w:rPr>
                <w:b w:val="0"/>
                <w:bCs w:val="0"/>
              </w:rPr>
            </w:pPr>
            <w:r w:rsidRPr="006773FB">
              <w:rPr>
                <w:b w:val="0"/>
                <w:bCs w:val="0"/>
              </w:rPr>
              <w:t>0.75</w:t>
            </w:r>
          </w:p>
        </w:tc>
      </w:tr>
      <w:tr w:rsidR="006773FB" w14:paraId="36608D2F" w14:textId="77777777" w:rsidTr="00103659">
        <w:tc>
          <w:tcPr>
            <w:tcW w:w="2337" w:type="dxa"/>
          </w:tcPr>
          <w:p w14:paraId="34FF9B4E" w14:textId="77777777" w:rsidR="006773FB" w:rsidRPr="006773FB" w:rsidRDefault="006773FB" w:rsidP="006773FB">
            <w:pPr>
              <w:pStyle w:val="S2"/>
              <w:rPr>
                <w:b w:val="0"/>
                <w:bCs w:val="0"/>
              </w:rPr>
            </w:pPr>
            <w:r w:rsidRPr="006773FB">
              <w:rPr>
                <w:b w:val="0"/>
                <w:bCs w:val="0"/>
              </w:rPr>
              <w:t>Benzyl alcohol</w:t>
            </w:r>
          </w:p>
        </w:tc>
        <w:tc>
          <w:tcPr>
            <w:tcW w:w="2337" w:type="dxa"/>
          </w:tcPr>
          <w:p w14:paraId="4CF5CBC3" w14:textId="77777777" w:rsidR="006773FB" w:rsidRPr="006773FB" w:rsidRDefault="006773FB" w:rsidP="006773FB">
            <w:pPr>
              <w:pStyle w:val="S2"/>
              <w:rPr>
                <w:b w:val="0"/>
                <w:bCs w:val="0"/>
              </w:rPr>
            </w:pPr>
            <w:r w:rsidRPr="006773FB">
              <w:rPr>
                <w:b w:val="0"/>
                <w:bCs w:val="0"/>
              </w:rPr>
              <w:t>C</w:t>
            </w:r>
            <w:r w:rsidRPr="006773FB">
              <w:rPr>
                <w:b w:val="0"/>
                <w:bCs w:val="0"/>
                <w:vertAlign w:val="subscript"/>
              </w:rPr>
              <w:t>7</w:t>
            </w:r>
            <w:r w:rsidRPr="006773FB">
              <w:rPr>
                <w:b w:val="0"/>
                <w:bCs w:val="0"/>
              </w:rPr>
              <w:t>H</w:t>
            </w:r>
            <w:r w:rsidRPr="006773FB">
              <w:rPr>
                <w:b w:val="0"/>
                <w:bCs w:val="0"/>
                <w:vertAlign w:val="subscript"/>
              </w:rPr>
              <w:t>8</w:t>
            </w:r>
            <w:r w:rsidRPr="006773FB">
              <w:rPr>
                <w:b w:val="0"/>
                <w:bCs w:val="0"/>
              </w:rPr>
              <w:t>O</w:t>
            </w:r>
          </w:p>
        </w:tc>
        <w:tc>
          <w:tcPr>
            <w:tcW w:w="2338" w:type="dxa"/>
          </w:tcPr>
          <w:p w14:paraId="0C96DC2C" w14:textId="77777777" w:rsidR="006773FB" w:rsidRPr="006773FB" w:rsidRDefault="006773FB" w:rsidP="006773FB">
            <w:pPr>
              <w:pStyle w:val="S2"/>
              <w:rPr>
                <w:b w:val="0"/>
                <w:bCs w:val="0"/>
              </w:rPr>
            </w:pPr>
            <w:r w:rsidRPr="006773FB">
              <w:rPr>
                <w:b w:val="0"/>
                <w:bCs w:val="0"/>
              </w:rPr>
              <w:t>0.143</w:t>
            </w:r>
          </w:p>
        </w:tc>
        <w:tc>
          <w:tcPr>
            <w:tcW w:w="2338" w:type="dxa"/>
          </w:tcPr>
          <w:p w14:paraId="12893FC8" w14:textId="77777777" w:rsidR="006773FB" w:rsidRPr="006773FB" w:rsidRDefault="006773FB" w:rsidP="006773FB">
            <w:pPr>
              <w:pStyle w:val="S2"/>
              <w:rPr>
                <w:b w:val="0"/>
                <w:bCs w:val="0"/>
              </w:rPr>
            </w:pPr>
            <w:r w:rsidRPr="006773FB">
              <w:rPr>
                <w:b w:val="0"/>
                <w:bCs w:val="0"/>
              </w:rPr>
              <w:t>0.929</w:t>
            </w:r>
          </w:p>
        </w:tc>
      </w:tr>
    </w:tbl>
    <w:p w14:paraId="287654C8" w14:textId="77777777" w:rsidR="006773FB" w:rsidRDefault="006773FB" w:rsidP="006773FB">
      <w:pPr>
        <w:keepNext/>
        <w:rPr>
          <w:b/>
          <w:bCs/>
          <w:szCs w:val="20"/>
        </w:rPr>
      </w:pPr>
    </w:p>
    <w:p w14:paraId="271A5A06" w14:textId="2C7F3DE5" w:rsidR="006773FB" w:rsidRPr="00134276" w:rsidRDefault="006773FB" w:rsidP="000557FB">
      <w:pPr>
        <w:pStyle w:val="Heading1"/>
      </w:pPr>
      <w:r w:rsidRPr="00134276">
        <w:t>S3</w:t>
      </w:r>
      <w:r>
        <w:t xml:space="preserve"> </w:t>
      </w:r>
      <w:r w:rsidRPr="00134276">
        <w:t>Comparison of FID/CO</w:t>
      </w:r>
      <w:r w:rsidRPr="00134276">
        <w:rPr>
          <w:vertAlign w:val="subscript"/>
        </w:rPr>
        <w:t>2</w:t>
      </w:r>
      <w:r w:rsidRPr="00134276">
        <w:t xml:space="preserve"> across Systems 1, 2, and 3</w:t>
      </w:r>
    </w:p>
    <w:p w14:paraId="38FC4FED" w14:textId="77777777" w:rsidR="006773FB" w:rsidRPr="001D7971" w:rsidRDefault="006773FB" w:rsidP="000557FB">
      <w:pPr>
        <w:rPr>
          <w:b/>
          <w:bCs/>
        </w:rPr>
      </w:pPr>
      <w:r w:rsidRPr="001D7971">
        <w:t>To test the reproducibility of measured FID/CO</w:t>
      </w:r>
      <w:r w:rsidRPr="001D7971">
        <w:rPr>
          <w:vertAlign w:val="subscript"/>
        </w:rPr>
        <w:t>2</w:t>
      </w:r>
      <w:r w:rsidRPr="001D7971">
        <w:t>, 14 compounds were run on more than one instrumental configuration. Of these 14 compounds, 11 were run on two configurations. The relative error of the FID/CO</w:t>
      </w:r>
      <w:r w:rsidRPr="001D7971">
        <w:rPr>
          <w:vertAlign w:val="subscript"/>
        </w:rPr>
        <w:t>2</w:t>
      </w:r>
      <w:r w:rsidRPr="001D7971">
        <w:t xml:space="preserve"> measured for each system was calculated as the difference between the measured value and the mean of FID/CO</w:t>
      </w:r>
      <w:r w:rsidRPr="001D7971">
        <w:rPr>
          <w:vertAlign w:val="subscript"/>
        </w:rPr>
        <w:t>2</w:t>
      </w:r>
      <w:r w:rsidRPr="001D7971">
        <w:t xml:space="preserve"> measured for that compound for all systems tested, relative to the mean. The average relative error is 2.1% ± 1.8%, with a maximum relative error of 6.6%. The range of errors for all 14 compounds is shown in F</w:t>
      </w:r>
      <w:bookmarkStart w:id="0" w:name="_GoBack"/>
      <w:bookmarkEnd w:id="0"/>
      <w:r w:rsidRPr="001D7971">
        <w:t xml:space="preserve">igure S2. </w:t>
      </w:r>
    </w:p>
    <w:p w14:paraId="42931655" w14:textId="77777777" w:rsidR="006773FB" w:rsidRPr="00FD4F64" w:rsidRDefault="006773FB" w:rsidP="001D7971">
      <w:pPr>
        <w:pStyle w:val="S3"/>
        <w:rPr>
          <w:rFonts w:cstheme="minorHAnsi"/>
        </w:rPr>
      </w:pPr>
    </w:p>
    <w:p w14:paraId="1FCC8F8D" w14:textId="77777777" w:rsidR="006773FB" w:rsidRPr="00E1196A" w:rsidRDefault="006773FB" w:rsidP="001D7971">
      <w:pPr>
        <w:pStyle w:val="S3"/>
        <w:rPr>
          <w:rFonts w:cstheme="minorHAnsi"/>
        </w:rPr>
      </w:pPr>
      <w:r w:rsidRPr="00562419">
        <w:rPr>
          <w:rFonts w:cstheme="minorHAnsi"/>
          <w:noProof/>
        </w:rPr>
        <w:drawing>
          <wp:inline distT="0" distB="0" distL="0" distR="0" wp14:anchorId="19724535" wp14:editId="4FD5B475">
            <wp:extent cx="4876800" cy="3530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76800" cy="3530600"/>
                    </a:xfrm>
                    <a:prstGeom prst="rect">
                      <a:avLst/>
                    </a:prstGeom>
                    <a:noFill/>
                    <a:ln>
                      <a:noFill/>
                    </a:ln>
                  </pic:spPr>
                </pic:pic>
              </a:graphicData>
            </a:graphic>
          </wp:inline>
        </w:drawing>
      </w:r>
    </w:p>
    <w:p w14:paraId="05ABD171" w14:textId="05D62F39" w:rsidR="006773FB" w:rsidRDefault="006773FB" w:rsidP="000557FB">
      <w:pPr>
        <w:pStyle w:val="Caption"/>
      </w:pPr>
      <w:r w:rsidRPr="00551AA3">
        <w:t>Figure S2: FID/CO</w:t>
      </w:r>
      <w:r w:rsidRPr="00551AA3">
        <w:rPr>
          <w:vertAlign w:val="subscript"/>
        </w:rPr>
        <w:t>2</w:t>
      </w:r>
      <w:r w:rsidRPr="00551AA3">
        <w:t xml:space="preserve"> versus O/C for the 14 compounds analy</w:t>
      </w:r>
      <w:r w:rsidR="00BE5AE3">
        <w:t>s</w:t>
      </w:r>
      <w:r w:rsidRPr="00551AA3">
        <w:t>ed in multiple instrument configurations. Error bars show minimum and maximum value measured for each compound. Relative error shown on top as the ratio of the extrema to the mean. For the 11 compounds run on only two configurations, the extrema are symmetric about zero.</w:t>
      </w:r>
    </w:p>
    <w:p w14:paraId="2B8E9EE3" w14:textId="77777777" w:rsidR="006773FB" w:rsidRPr="00551AA3" w:rsidRDefault="006773FB" w:rsidP="001D7971">
      <w:pPr>
        <w:pStyle w:val="S3"/>
        <w:rPr>
          <w:sz w:val="18"/>
          <w:szCs w:val="18"/>
        </w:rPr>
      </w:pPr>
    </w:p>
    <w:p w14:paraId="50A2647D" w14:textId="77777777" w:rsidR="001D7971" w:rsidRPr="00551AA3" w:rsidRDefault="001D7971" w:rsidP="000557FB">
      <w:pPr>
        <w:pStyle w:val="Heading1"/>
      </w:pPr>
      <w:r w:rsidRPr="00551AA3">
        <w:t>References</w:t>
      </w:r>
    </w:p>
    <w:p w14:paraId="00F5EAD4" w14:textId="77777777" w:rsidR="001D7971" w:rsidRPr="00551AA3" w:rsidRDefault="001D7971" w:rsidP="001D7971">
      <w:pPr>
        <w:widowControl w:val="0"/>
        <w:autoSpaceDE w:val="0"/>
        <w:autoSpaceDN w:val="0"/>
        <w:adjustRightInd w:val="0"/>
        <w:rPr>
          <w:noProof/>
          <w:szCs w:val="20"/>
        </w:rPr>
      </w:pPr>
      <w:r w:rsidRPr="00551AA3">
        <w:rPr>
          <w:bCs/>
          <w:szCs w:val="20"/>
        </w:rPr>
        <w:fldChar w:fldCharType="begin" w:fldLock="1"/>
      </w:r>
      <w:r w:rsidRPr="00551AA3">
        <w:rPr>
          <w:bCs/>
          <w:szCs w:val="20"/>
        </w:rPr>
        <w:instrText xml:space="preserve">ADDIN Mendeley Bibliography CSL_BIBLIOGRAPHY </w:instrText>
      </w:r>
      <w:r w:rsidRPr="00551AA3">
        <w:rPr>
          <w:bCs/>
          <w:szCs w:val="20"/>
        </w:rPr>
        <w:fldChar w:fldCharType="separate"/>
      </w:r>
      <w:r w:rsidRPr="00551AA3">
        <w:rPr>
          <w:noProof/>
          <w:szCs w:val="20"/>
        </w:rPr>
        <w:t>Aiken, A. C., Decarlo, P. F., Kroll, J. H., Worsnop, D. R., Huffman, J. A., Docherty, K. S., Ulbrich, I. M., Mohr, C., Kimmel, J. R., Sueper, D., Sun, Y., Zhang, Q., Trimborn, A., Northway, M., Ziemann, P. J., Canagaratna, M. R., Onasch, T. B., Alfarra, M. R., Prevot, A. S. H., Dommen, J., Duplissy, J., Metzger, A., Baltensperger, U. and Jimenez, J. L.: O/C and OM/OC ratios of primary, secondary, and ambient organic aerosols with high-resolution time-of-flight aerosol mass spectrometry, Environ. Sci. Technol., 42(12), 4478–4485, doi:10.1021/es703009q, 2008.</w:t>
      </w:r>
    </w:p>
    <w:p w14:paraId="5CA237A9" w14:textId="6FEA32A9" w:rsidR="00F5258E" w:rsidRDefault="001D7971" w:rsidP="001D7971">
      <w:pPr>
        <w:pStyle w:val="Heading1"/>
      </w:pPr>
      <w:r w:rsidRPr="00551AA3">
        <w:rPr>
          <w:rFonts w:cs="Times New Roman"/>
          <w:bCs w:val="0"/>
          <w:szCs w:val="20"/>
        </w:rPr>
        <w:fldChar w:fldCharType="end"/>
      </w:r>
      <w:r>
        <w:t xml:space="preserve"> </w:t>
      </w:r>
    </w:p>
    <w:p w14:paraId="563E46CE" w14:textId="73AB529F" w:rsidR="00F5258E" w:rsidRDefault="00F5258E" w:rsidP="003D5288"/>
    <w:p w14:paraId="2E2F22B5" w14:textId="558ABC0E" w:rsidR="003A4FB4" w:rsidRDefault="003A4FB4" w:rsidP="003A4FB4">
      <w:pPr>
        <w:pStyle w:val="Caption"/>
      </w:pPr>
    </w:p>
    <w:sectPr w:rsidR="003A4FB4" w:rsidSect="00F512A5">
      <w:footerReference w:type="default" r:id="rId10"/>
      <w:pgSz w:w="11907" w:h="13608"/>
      <w:pgMar w:top="567" w:right="936" w:bottom="1338" w:left="936" w:header="0" w:footer="737" w:gutter="0"/>
      <w:lnNumType w:countBy="5" w:distance="227"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321CA3" w14:textId="77777777" w:rsidR="004D5433" w:rsidRDefault="004D5433" w:rsidP="006D0C96">
      <w:pPr>
        <w:spacing w:line="240" w:lineRule="auto"/>
      </w:pPr>
      <w:r>
        <w:separator/>
      </w:r>
    </w:p>
  </w:endnote>
  <w:endnote w:type="continuationSeparator" w:id="0">
    <w:p w14:paraId="2A338843" w14:textId="77777777" w:rsidR="004D5433" w:rsidRDefault="004D5433" w:rsidP="006D0C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7788171"/>
      <w:docPartObj>
        <w:docPartGallery w:val="Page Numbers (Bottom of Page)"/>
        <w:docPartUnique/>
      </w:docPartObj>
    </w:sdtPr>
    <w:sdtEndPr>
      <w:rPr>
        <w:noProof/>
      </w:rPr>
    </w:sdtEndPr>
    <w:sdtContent>
      <w:p w14:paraId="5576ABD1" w14:textId="77777777" w:rsidR="006D0C96" w:rsidRDefault="006D0C96">
        <w:pPr>
          <w:pStyle w:val="Footer"/>
          <w:jc w:val="center"/>
        </w:pPr>
        <w:r>
          <w:fldChar w:fldCharType="begin"/>
        </w:r>
        <w:r>
          <w:instrText xml:space="preserve"> PAGE   \* MERGEFORMAT </w:instrText>
        </w:r>
        <w:r>
          <w:fldChar w:fldCharType="separate"/>
        </w:r>
        <w:r w:rsidR="003118C8">
          <w:rPr>
            <w:noProof/>
          </w:rPr>
          <w:t>2</w:t>
        </w:r>
        <w:r>
          <w:rPr>
            <w:noProof/>
          </w:rPr>
          <w:fldChar w:fldCharType="end"/>
        </w:r>
      </w:p>
    </w:sdtContent>
  </w:sdt>
  <w:p w14:paraId="44AA5123" w14:textId="77777777" w:rsidR="006D0C96" w:rsidRDefault="006D0C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8F5FB8" w14:textId="77777777" w:rsidR="004D5433" w:rsidRDefault="004D5433" w:rsidP="006D0C96">
      <w:pPr>
        <w:spacing w:line="240" w:lineRule="auto"/>
      </w:pPr>
      <w:r>
        <w:separator/>
      </w:r>
    </w:p>
  </w:footnote>
  <w:footnote w:type="continuationSeparator" w:id="0">
    <w:p w14:paraId="282B3765" w14:textId="77777777" w:rsidR="004D5433" w:rsidRDefault="004D5433" w:rsidP="006D0C9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4213"/>
    <w:rsid w:val="000557FB"/>
    <w:rsid w:val="0005690A"/>
    <w:rsid w:val="00075F28"/>
    <w:rsid w:val="000A1B66"/>
    <w:rsid w:val="000C3A9F"/>
    <w:rsid w:val="001C5EB9"/>
    <w:rsid w:val="001D7971"/>
    <w:rsid w:val="00203F92"/>
    <w:rsid w:val="002D37A5"/>
    <w:rsid w:val="003118C8"/>
    <w:rsid w:val="003A4FB4"/>
    <w:rsid w:val="003D5288"/>
    <w:rsid w:val="00450DB9"/>
    <w:rsid w:val="00463568"/>
    <w:rsid w:val="004D0F1A"/>
    <w:rsid w:val="004D5433"/>
    <w:rsid w:val="004E2FB4"/>
    <w:rsid w:val="0055217B"/>
    <w:rsid w:val="00564213"/>
    <w:rsid w:val="005A4F32"/>
    <w:rsid w:val="006326D7"/>
    <w:rsid w:val="00670F05"/>
    <w:rsid w:val="006773FB"/>
    <w:rsid w:val="006D0C96"/>
    <w:rsid w:val="0070537F"/>
    <w:rsid w:val="00751A44"/>
    <w:rsid w:val="00796A7F"/>
    <w:rsid w:val="00855006"/>
    <w:rsid w:val="008958B9"/>
    <w:rsid w:val="008B719F"/>
    <w:rsid w:val="008E213F"/>
    <w:rsid w:val="008E3110"/>
    <w:rsid w:val="009150E4"/>
    <w:rsid w:val="0091791F"/>
    <w:rsid w:val="00932F15"/>
    <w:rsid w:val="00943440"/>
    <w:rsid w:val="009D0629"/>
    <w:rsid w:val="009D38E2"/>
    <w:rsid w:val="009F2C0A"/>
    <w:rsid w:val="00AE4157"/>
    <w:rsid w:val="00B4015F"/>
    <w:rsid w:val="00B5719D"/>
    <w:rsid w:val="00B75342"/>
    <w:rsid w:val="00B94A58"/>
    <w:rsid w:val="00BD0523"/>
    <w:rsid w:val="00BE5AE3"/>
    <w:rsid w:val="00C1589F"/>
    <w:rsid w:val="00C26311"/>
    <w:rsid w:val="00C35812"/>
    <w:rsid w:val="00C82F79"/>
    <w:rsid w:val="00CC51D0"/>
    <w:rsid w:val="00D40CE0"/>
    <w:rsid w:val="00DB4E53"/>
    <w:rsid w:val="00E00339"/>
    <w:rsid w:val="00E142A8"/>
    <w:rsid w:val="00ED6B96"/>
    <w:rsid w:val="00EE58C0"/>
    <w:rsid w:val="00F35903"/>
    <w:rsid w:val="00F512A5"/>
    <w:rsid w:val="00F5258E"/>
    <w:rsid w:val="00F64C9C"/>
    <w:rsid w:val="00FF308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BE553"/>
  <w15:docId w15:val="{D2CFD17B-36C5-4048-BB43-0059F9DAD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5AE3"/>
    <w:pPr>
      <w:spacing w:line="360" w:lineRule="auto"/>
      <w:jc w:val="both"/>
    </w:pPr>
    <w:rPr>
      <w:rFonts w:ascii="Times New Roman" w:eastAsia="Times New Roman" w:hAnsi="Times New Roman"/>
      <w:szCs w:val="24"/>
      <w:lang w:eastAsia="de-DE"/>
    </w:rPr>
  </w:style>
  <w:style w:type="paragraph" w:styleId="Heading1">
    <w:name w:val="heading 1"/>
    <w:basedOn w:val="Normal"/>
    <w:next w:val="Normal"/>
    <w:link w:val="Heading1Char"/>
    <w:qFormat/>
    <w:rsid w:val="00075F28"/>
    <w:pPr>
      <w:keepNext/>
      <w:spacing w:before="480" w:after="240" w:line="240" w:lineRule="auto"/>
      <w:outlineLvl w:val="0"/>
    </w:pPr>
    <w:rPr>
      <w:rFonts w:cs="Arial"/>
      <w:b/>
      <w:bCs/>
      <w:color w:val="000000"/>
      <w:kern w:val="32"/>
      <w:szCs w:val="32"/>
    </w:rPr>
  </w:style>
  <w:style w:type="paragraph" w:styleId="Heading2">
    <w:name w:val="heading 2"/>
    <w:basedOn w:val="Normal"/>
    <w:next w:val="Normal"/>
    <w:link w:val="Heading2Char"/>
    <w:qFormat/>
    <w:rsid w:val="00E00339"/>
    <w:pPr>
      <w:keepNext/>
      <w:spacing w:before="240" w:after="240" w:line="240" w:lineRule="auto"/>
      <w:outlineLvl w:val="1"/>
    </w:pPr>
    <w:rPr>
      <w:rFonts w:cs="Arial"/>
      <w:b/>
      <w:bCs/>
      <w:iCs/>
      <w:szCs w:val="28"/>
    </w:rPr>
  </w:style>
  <w:style w:type="paragraph" w:styleId="Heading3">
    <w:name w:val="heading 3"/>
    <w:basedOn w:val="Normal"/>
    <w:next w:val="Normal"/>
    <w:link w:val="Heading3Char"/>
    <w:qFormat/>
    <w:rsid w:val="005A4F32"/>
    <w:pPr>
      <w:keepNext/>
      <w:spacing w:before="240" w:after="240" w:line="240" w:lineRule="auto"/>
      <w:outlineLvl w:val="2"/>
    </w:pPr>
    <w:rPr>
      <w:rFonts w:cs="Arial"/>
      <w:b/>
      <w:bCs/>
      <w:szCs w:val="26"/>
    </w:rPr>
  </w:style>
  <w:style w:type="paragraph" w:styleId="Heading4">
    <w:name w:val="heading 4"/>
    <w:basedOn w:val="Normal"/>
    <w:next w:val="Normal"/>
    <w:link w:val="Heading4Char"/>
    <w:rsid w:val="00ED6B96"/>
    <w:pPr>
      <w:keepNext/>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treff">
    <w:name w:val="Betreff"/>
    <w:basedOn w:val="Normal"/>
    <w:next w:val="Normal"/>
    <w:rsid w:val="00ED6B96"/>
    <w:rPr>
      <w:b/>
    </w:rPr>
  </w:style>
  <w:style w:type="paragraph" w:customStyle="1" w:styleId="Bullets">
    <w:name w:val="Bullets"/>
    <w:basedOn w:val="Normal"/>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TableNormal"/>
    <w:rsid w:val="00ED6B96"/>
    <w:rPr>
      <w:rFonts w:ascii="Verdana" w:eastAsia="Times New Roman" w:hAnsi="Verdana"/>
      <w:sz w:val="19"/>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Header">
    <w:name w:val="header"/>
    <w:basedOn w:val="Normal"/>
    <w:link w:val="HeaderChar"/>
    <w:rsid w:val="00ED6B96"/>
    <w:pPr>
      <w:tabs>
        <w:tab w:val="center" w:pos="4536"/>
        <w:tab w:val="right" w:pos="9072"/>
      </w:tabs>
    </w:pPr>
  </w:style>
  <w:style w:type="character" w:customStyle="1" w:styleId="Heading1Char">
    <w:name w:val="Heading 1 Char"/>
    <w:link w:val="Heading1"/>
    <w:rsid w:val="00075F28"/>
    <w:rPr>
      <w:rFonts w:ascii="Times New Roman" w:eastAsia="Times New Roman" w:hAnsi="Times New Roman" w:cs="Arial"/>
      <w:b/>
      <w:bCs/>
      <w:color w:val="000000"/>
      <w:kern w:val="32"/>
      <w:szCs w:val="32"/>
      <w:lang w:eastAsia="de-DE"/>
    </w:rPr>
  </w:style>
  <w:style w:type="character" w:customStyle="1" w:styleId="Heading3Char">
    <w:name w:val="Heading 3 Char"/>
    <w:link w:val="Heading3"/>
    <w:rsid w:val="005A4F32"/>
    <w:rPr>
      <w:rFonts w:ascii="Times New Roman" w:eastAsia="Times New Roman" w:hAnsi="Times New Roman" w:cs="Arial"/>
      <w:b/>
      <w:bCs/>
      <w:szCs w:val="26"/>
      <w:lang w:eastAsia="de-DE"/>
    </w:rPr>
  </w:style>
  <w:style w:type="character" w:customStyle="1" w:styleId="Heading4Char">
    <w:name w:val="Heading 4 Char"/>
    <w:link w:val="Heading4"/>
    <w:rsid w:val="00796A7F"/>
    <w:rPr>
      <w:rFonts w:ascii="Verdana" w:eastAsia="Times New Roman" w:hAnsi="Verdana" w:cs="Times New Roman"/>
      <w:b/>
      <w:bCs/>
      <w:sz w:val="19"/>
      <w:szCs w:val="28"/>
      <w:lang w:eastAsia="de-DE"/>
    </w:rPr>
  </w:style>
  <w:style w:type="character" w:customStyle="1" w:styleId="HeaderChar">
    <w:name w:val="Header Char"/>
    <w:link w:val="Header"/>
    <w:rsid w:val="00ED6B96"/>
    <w:rPr>
      <w:rFonts w:ascii="Verdana" w:eastAsia="Times New Roman" w:hAnsi="Verdana" w:cs="Times New Roman"/>
      <w:sz w:val="19"/>
      <w:szCs w:val="24"/>
      <w:lang w:eastAsia="de-DE"/>
    </w:rPr>
  </w:style>
  <w:style w:type="character" w:customStyle="1" w:styleId="Heading2Char">
    <w:name w:val="Heading 2 Char"/>
    <w:link w:val="Heading2"/>
    <w:rsid w:val="00E00339"/>
    <w:rPr>
      <w:rFonts w:ascii="Times New Roman" w:eastAsia="Times New Roman" w:hAnsi="Times New Roman" w:cs="Arial"/>
      <w:b/>
      <w:bCs/>
      <w:iCs/>
      <w:szCs w:val="28"/>
      <w:lang w:eastAsia="de-DE"/>
    </w:rPr>
  </w:style>
  <w:style w:type="character" w:styleId="Hyperlink">
    <w:name w:val="Hyperlink"/>
    <w:rsid w:val="00ED6B96"/>
    <w:rPr>
      <w:color w:val="0000FF"/>
      <w:u w:val="single"/>
    </w:rPr>
  </w:style>
  <w:style w:type="paragraph" w:customStyle="1" w:styleId="Kontakt">
    <w:name w:val="Kontakt"/>
    <w:basedOn w:val="Normal"/>
    <w:rsid w:val="00ED6B96"/>
    <w:pPr>
      <w:spacing w:line="160" w:lineRule="exact"/>
    </w:pPr>
    <w:rPr>
      <w:color w:val="808080"/>
      <w:sz w:val="13"/>
    </w:rPr>
  </w:style>
  <w:style w:type="paragraph" w:customStyle="1" w:styleId="Name">
    <w:name w:val="Name"/>
    <w:basedOn w:val="Normal"/>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rsid w:val="00B5719D"/>
  </w:style>
  <w:style w:type="character" w:customStyle="1" w:styleId="CopernicusWordtemplateChar">
    <w:name w:val="Copernicus_Word_template Char"/>
    <w:basedOn w:val="DefaultParagraphFont"/>
    <w:link w:val="CopernicusWordtemplate"/>
    <w:rsid w:val="00B5719D"/>
    <w:rPr>
      <w:rFonts w:ascii="Times New Roman" w:eastAsia="Times New Roman" w:hAnsi="Times New Roman"/>
      <w:sz w:val="24"/>
      <w:szCs w:val="24"/>
      <w:lang w:eastAsia="de-DE"/>
    </w:rPr>
  </w:style>
  <w:style w:type="character" w:styleId="LineNumber">
    <w:name w:val="line number"/>
    <w:basedOn w:val="DefaultParagraphFont"/>
    <w:uiPriority w:val="99"/>
    <w:semiHidden/>
    <w:unhideWhenUsed/>
    <w:rsid w:val="00D40CE0"/>
  </w:style>
  <w:style w:type="paragraph" w:customStyle="1" w:styleId="MStitle">
    <w:name w:val="MS title"/>
    <w:basedOn w:val="Normal"/>
    <w:link w:val="MStitleChar"/>
    <w:qFormat/>
    <w:rsid w:val="0091791F"/>
    <w:pPr>
      <w:spacing w:before="360" w:line="440" w:lineRule="exact"/>
      <w:contextualSpacing/>
    </w:pPr>
    <w:rPr>
      <w:b/>
      <w:sz w:val="34"/>
    </w:rPr>
  </w:style>
  <w:style w:type="paragraph" w:styleId="ListParagraph">
    <w:name w:val="List Paragraph"/>
    <w:basedOn w:val="Normal"/>
    <w:uiPriority w:val="34"/>
    <w:rsid w:val="00B4015F"/>
    <w:pPr>
      <w:ind w:left="720"/>
      <w:contextualSpacing/>
    </w:pPr>
  </w:style>
  <w:style w:type="character" w:customStyle="1" w:styleId="MStitleChar">
    <w:name w:val="MS title Char"/>
    <w:basedOn w:val="DefaultParagraphFont"/>
    <w:link w:val="MStitle"/>
    <w:rsid w:val="0091791F"/>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450DB9"/>
    <w:pPr>
      <w:spacing w:before="120" w:line="240" w:lineRule="auto"/>
      <w:contextualSpacing/>
    </w:pPr>
  </w:style>
  <w:style w:type="character" w:styleId="PlaceholderText">
    <w:name w:val="Placeholder Text"/>
    <w:basedOn w:val="DefaultParagraphFont"/>
    <w:uiPriority w:val="99"/>
    <w:semiHidden/>
    <w:rsid w:val="003D5288"/>
    <w:rPr>
      <w:color w:val="808080"/>
    </w:rPr>
  </w:style>
  <w:style w:type="character" w:customStyle="1" w:styleId="AffiliationChar">
    <w:name w:val="Affiliation Char"/>
    <w:basedOn w:val="DefaultParagraphFont"/>
    <w:link w:val="Affiliation"/>
    <w:rsid w:val="00450DB9"/>
    <w:rPr>
      <w:rFonts w:ascii="Times New Roman" w:eastAsia="Times New Roman" w:hAnsi="Times New Roman"/>
      <w:szCs w:val="24"/>
      <w:lang w:eastAsia="de-DE"/>
    </w:rPr>
  </w:style>
  <w:style w:type="paragraph" w:styleId="BalloonText">
    <w:name w:val="Balloon Text"/>
    <w:basedOn w:val="Normal"/>
    <w:link w:val="BalloonTextChar"/>
    <w:uiPriority w:val="99"/>
    <w:semiHidden/>
    <w:unhideWhenUsed/>
    <w:rsid w:val="003D52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288"/>
    <w:rPr>
      <w:rFonts w:ascii="Tahoma" w:eastAsia="Times New Roman" w:hAnsi="Tahoma" w:cs="Tahoma"/>
      <w:sz w:val="16"/>
      <w:szCs w:val="16"/>
      <w:lang w:eastAsia="de-DE"/>
    </w:rPr>
  </w:style>
  <w:style w:type="paragraph" w:customStyle="1" w:styleId="Equation">
    <w:name w:val="Equation"/>
    <w:basedOn w:val="Normal"/>
    <w:link w:val="EquationChar"/>
    <w:rsid w:val="00C35812"/>
    <w:pPr>
      <w:spacing w:before="120" w:after="120"/>
    </w:pPr>
    <w:rPr>
      <w:rFonts w:ascii="Cambria Math" w:hAnsi="Cambria Math"/>
    </w:rPr>
  </w:style>
  <w:style w:type="paragraph" w:styleId="Caption">
    <w:name w:val="caption"/>
    <w:basedOn w:val="Normal"/>
    <w:next w:val="Normal"/>
    <w:uiPriority w:val="35"/>
    <w:unhideWhenUsed/>
    <w:qFormat/>
    <w:rsid w:val="003A4FB4"/>
    <w:pPr>
      <w:spacing w:after="200" w:line="240" w:lineRule="auto"/>
    </w:pPr>
    <w:rPr>
      <w:b/>
      <w:bCs/>
      <w:sz w:val="18"/>
      <w:szCs w:val="18"/>
    </w:rPr>
  </w:style>
  <w:style w:type="character" w:customStyle="1" w:styleId="EquationChar">
    <w:name w:val="Equation Char"/>
    <w:basedOn w:val="DefaultParagraphFont"/>
    <w:link w:val="Equation"/>
    <w:rsid w:val="00C35812"/>
    <w:rPr>
      <w:rFonts w:ascii="Cambria Math" w:eastAsia="Times New Roman" w:hAnsi="Cambria Math"/>
      <w:szCs w:val="24"/>
      <w:lang w:eastAsia="de-DE"/>
    </w:rPr>
  </w:style>
  <w:style w:type="paragraph" w:styleId="Footer">
    <w:name w:val="footer"/>
    <w:basedOn w:val="Normal"/>
    <w:link w:val="FooterChar"/>
    <w:uiPriority w:val="99"/>
    <w:unhideWhenUsed/>
    <w:rsid w:val="006D0C96"/>
    <w:pPr>
      <w:tabs>
        <w:tab w:val="center" w:pos="4513"/>
        <w:tab w:val="right" w:pos="9026"/>
      </w:tabs>
      <w:spacing w:line="240" w:lineRule="auto"/>
    </w:pPr>
  </w:style>
  <w:style w:type="character" w:customStyle="1" w:styleId="FooterChar">
    <w:name w:val="Footer Char"/>
    <w:basedOn w:val="DefaultParagraphFont"/>
    <w:link w:val="Footer"/>
    <w:uiPriority w:val="99"/>
    <w:rsid w:val="006D0C96"/>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8E213F"/>
    <w:pPr>
      <w:spacing w:before="120" w:after="360" w:line="240" w:lineRule="auto"/>
    </w:pPr>
  </w:style>
  <w:style w:type="character" w:customStyle="1" w:styleId="CorrespondenceChar">
    <w:name w:val="Correspondence Char"/>
    <w:basedOn w:val="DefaultParagraphFont"/>
    <w:link w:val="Correspondence"/>
    <w:rsid w:val="008E213F"/>
    <w:rPr>
      <w:rFonts w:ascii="Times New Roman" w:eastAsia="Times New Roman" w:hAnsi="Times New Roman"/>
      <w:szCs w:val="24"/>
      <w:lang w:eastAsia="de-DE"/>
    </w:rPr>
  </w:style>
  <w:style w:type="paragraph" w:customStyle="1" w:styleId="Authors">
    <w:name w:val="Authors"/>
    <w:basedOn w:val="Normal"/>
    <w:link w:val="AuthorsChar"/>
    <w:qFormat/>
    <w:rsid w:val="00BD0523"/>
    <w:pPr>
      <w:spacing w:before="180" w:line="240" w:lineRule="auto"/>
      <w:contextualSpacing/>
    </w:pPr>
    <w:rPr>
      <w:sz w:val="24"/>
    </w:rPr>
  </w:style>
  <w:style w:type="character" w:customStyle="1" w:styleId="AuthorsChar">
    <w:name w:val="Authors Char"/>
    <w:basedOn w:val="DefaultParagraphFont"/>
    <w:link w:val="Authors"/>
    <w:rsid w:val="00BD0523"/>
    <w:rPr>
      <w:rFonts w:ascii="Times New Roman" w:eastAsia="Times New Roman" w:hAnsi="Times New Roman"/>
      <w:sz w:val="24"/>
      <w:szCs w:val="24"/>
      <w:lang w:eastAsia="de-DE"/>
    </w:rPr>
  </w:style>
  <w:style w:type="table" w:styleId="PlainTable2">
    <w:name w:val="Plain Table 2"/>
    <w:basedOn w:val="TableNormal"/>
    <w:uiPriority w:val="42"/>
    <w:rsid w:val="006773FB"/>
    <w:rPr>
      <w:rFonts w:asciiTheme="minorHAnsi" w:eastAsiaTheme="minorHAnsi" w:hAnsiTheme="minorHAnsi" w:cstheme="minorBidi"/>
      <w:sz w:val="22"/>
      <w:szCs w:val="22"/>
      <w:lang w:val="en-US"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1">
    <w:name w:val="S1"/>
    <w:basedOn w:val="Normal"/>
    <w:link w:val="S1Char"/>
    <w:qFormat/>
    <w:rsid w:val="006773FB"/>
    <w:rPr>
      <w:b/>
      <w:bCs/>
      <w:szCs w:val="20"/>
    </w:rPr>
  </w:style>
  <w:style w:type="table" w:styleId="TableGrid">
    <w:name w:val="Table Grid"/>
    <w:basedOn w:val="TableNormal"/>
    <w:uiPriority w:val="39"/>
    <w:rsid w:val="006773FB"/>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Char">
    <w:name w:val="S1 Char"/>
    <w:basedOn w:val="DefaultParagraphFont"/>
    <w:link w:val="S1"/>
    <w:rsid w:val="006773FB"/>
    <w:rPr>
      <w:rFonts w:ascii="Times New Roman" w:eastAsia="Times New Roman" w:hAnsi="Times New Roman"/>
      <w:b/>
      <w:bCs/>
      <w:lang w:eastAsia="de-DE"/>
    </w:rPr>
  </w:style>
  <w:style w:type="paragraph" w:customStyle="1" w:styleId="S2">
    <w:name w:val="S2"/>
    <w:basedOn w:val="Normal"/>
    <w:link w:val="S2Char"/>
    <w:qFormat/>
    <w:rsid w:val="006773FB"/>
    <w:rPr>
      <w:b/>
      <w:bCs/>
      <w:szCs w:val="20"/>
    </w:rPr>
  </w:style>
  <w:style w:type="paragraph" w:customStyle="1" w:styleId="S3">
    <w:name w:val="S3"/>
    <w:basedOn w:val="Normal"/>
    <w:link w:val="S3Char"/>
    <w:qFormat/>
    <w:rsid w:val="001D7971"/>
    <w:pPr>
      <w:keepNext/>
    </w:pPr>
    <w:rPr>
      <w:b/>
      <w:bCs/>
      <w:szCs w:val="20"/>
    </w:rPr>
  </w:style>
  <w:style w:type="character" w:customStyle="1" w:styleId="S2Char">
    <w:name w:val="S2 Char"/>
    <w:basedOn w:val="DefaultParagraphFont"/>
    <w:link w:val="S2"/>
    <w:rsid w:val="006773FB"/>
    <w:rPr>
      <w:rFonts w:ascii="Times New Roman" w:eastAsia="Times New Roman" w:hAnsi="Times New Roman"/>
      <w:b/>
      <w:bCs/>
      <w:lang w:eastAsia="de-DE"/>
    </w:rPr>
  </w:style>
  <w:style w:type="character" w:customStyle="1" w:styleId="S3Char">
    <w:name w:val="S3 Char"/>
    <w:basedOn w:val="DefaultParagraphFont"/>
    <w:link w:val="S3"/>
    <w:rsid w:val="001D7971"/>
    <w:rPr>
      <w:rFonts w:ascii="Times New Roman" w:eastAsia="Times New Roman" w:hAnsi="Times New Roman"/>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B90F0-8BE3-421A-B843-DAA1F9C56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Blank.dotm</Template>
  <TotalTime>21</TotalTime>
  <Pages>4</Pages>
  <Words>1664</Words>
  <Characters>9489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Blank</vt:lpstr>
    </vt:vector>
  </TitlesOfParts>
  <Company>Copernicus Gesellschaft mbH</Company>
  <LinksUpToDate>false</LinksUpToDate>
  <CharactersWithSpaces>11131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creator>Martin Rasmussen</dc:creator>
  <cp:lastModifiedBy>Hurley, James</cp:lastModifiedBy>
  <cp:revision>6</cp:revision>
  <cp:lastPrinted>2016-02-01T07:21:00Z</cp:lastPrinted>
  <dcterms:created xsi:type="dcterms:W3CDTF">2020-02-13T19:26:00Z</dcterms:created>
  <dcterms:modified xsi:type="dcterms:W3CDTF">2020-02-14T14:41:00Z</dcterms:modified>
</cp:coreProperties>
</file>